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4A580" w14:textId="77777777" w:rsidR="004301AF" w:rsidRPr="005D7206" w:rsidRDefault="004301AF" w:rsidP="005D7206">
      <w:pPr>
        <w:jc w:val="center"/>
        <w:rPr>
          <w:rFonts w:cs="Times New Roman"/>
          <w:szCs w:val="24"/>
        </w:rPr>
      </w:pPr>
      <w:r w:rsidRPr="005D7206">
        <w:rPr>
          <w:rFonts w:cs="Times New Roman"/>
          <w:szCs w:val="24"/>
        </w:rPr>
        <w:t>Task Force 2 Issues</w:t>
      </w:r>
    </w:p>
    <w:p w14:paraId="213DD886" w14:textId="77777777" w:rsidR="007355CF" w:rsidRDefault="004301AF" w:rsidP="005D7206">
      <w:pPr>
        <w:jc w:val="center"/>
        <w:rPr>
          <w:rFonts w:cs="Times New Roman"/>
          <w:szCs w:val="24"/>
        </w:rPr>
      </w:pPr>
      <w:r w:rsidRPr="005D7206">
        <w:rPr>
          <w:rFonts w:cs="Times New Roman"/>
          <w:szCs w:val="24"/>
        </w:rPr>
        <w:t>Hurricane Harvey Follow-Up</w:t>
      </w:r>
    </w:p>
    <w:p w14:paraId="09DBFFC4" w14:textId="57EFADF6" w:rsidR="00B50B63" w:rsidRPr="00FD04AC" w:rsidRDefault="00B50B63" w:rsidP="005D7206">
      <w:pPr>
        <w:jc w:val="center"/>
        <w:rPr>
          <w:rFonts w:cs="Times New Roman"/>
          <w:b/>
          <w:szCs w:val="24"/>
          <w:u w:val="single"/>
        </w:rPr>
      </w:pPr>
      <w:r w:rsidRPr="00FD04AC">
        <w:rPr>
          <w:rFonts w:cs="Times New Roman"/>
          <w:b/>
          <w:szCs w:val="24"/>
          <w:u w:val="single"/>
        </w:rPr>
        <w:t>(Utility Responses)</w:t>
      </w:r>
    </w:p>
    <w:p w14:paraId="5CA848EC" w14:textId="77777777" w:rsidR="004301AF" w:rsidRPr="005D7206" w:rsidRDefault="004301AF" w:rsidP="005D7206">
      <w:pPr>
        <w:jc w:val="center"/>
        <w:rPr>
          <w:rFonts w:cs="Times New Roman"/>
          <w:szCs w:val="24"/>
        </w:rPr>
      </w:pPr>
    </w:p>
    <w:p w14:paraId="3F026113" w14:textId="77777777" w:rsidR="00956367" w:rsidRPr="005D7206" w:rsidRDefault="00956367" w:rsidP="005D7206">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Hurricane-Related Flood Protection for Electric Utility Facilities</w:t>
      </w:r>
    </w:p>
    <w:p w14:paraId="5952D97D" w14:textId="77777777" w:rsidR="00956367" w:rsidRDefault="00956367" w:rsidP="00DE626C">
      <w:pPr>
        <w:pStyle w:val="Heading2"/>
        <w:ind w:left="720"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Describe the extent to which your facilities (e.g. a substation) were flooded as a result of </w:t>
      </w:r>
      <w:bookmarkStart w:id="0" w:name="_GoBack"/>
      <w:r w:rsidRPr="005D7206">
        <w:rPr>
          <w:rFonts w:ascii="Times New Roman" w:hAnsi="Times New Roman" w:cs="Times New Roman"/>
          <w:color w:val="auto"/>
          <w:sz w:val="24"/>
          <w:szCs w:val="24"/>
        </w:rPr>
        <w:t>Hurricane Harvey and compare that flooding to prior flo</w:t>
      </w:r>
      <w:r w:rsidR="001C497B" w:rsidRPr="005D7206">
        <w:rPr>
          <w:rFonts w:ascii="Times New Roman" w:hAnsi="Times New Roman" w:cs="Times New Roman"/>
          <w:color w:val="auto"/>
          <w:sz w:val="24"/>
          <w:szCs w:val="24"/>
        </w:rPr>
        <w:t>oding</w:t>
      </w:r>
      <w:r w:rsidR="00AF6E32" w:rsidRPr="005D7206">
        <w:rPr>
          <w:rFonts w:ascii="Times New Roman" w:hAnsi="Times New Roman" w:cs="Times New Roman"/>
          <w:color w:val="auto"/>
          <w:sz w:val="24"/>
          <w:szCs w:val="24"/>
        </w:rPr>
        <w:t xml:space="preserve"> in at least the 15 years </w:t>
      </w:r>
      <w:bookmarkEnd w:id="0"/>
      <w:r w:rsidR="00AF6E32" w:rsidRPr="005D7206">
        <w:rPr>
          <w:rFonts w:ascii="Times New Roman" w:hAnsi="Times New Roman" w:cs="Times New Roman"/>
          <w:color w:val="auto"/>
          <w:sz w:val="24"/>
          <w:szCs w:val="24"/>
        </w:rPr>
        <w:t>before Hurricane Harvey</w:t>
      </w:r>
      <w:r w:rsidRPr="005D7206">
        <w:rPr>
          <w:rFonts w:ascii="Times New Roman" w:hAnsi="Times New Roman" w:cs="Times New Roman"/>
          <w:color w:val="auto"/>
          <w:sz w:val="24"/>
          <w:szCs w:val="24"/>
        </w:rPr>
        <w:t>.</w:t>
      </w:r>
    </w:p>
    <w:p w14:paraId="5A6E641B" w14:textId="77777777" w:rsidR="00101B4C" w:rsidRDefault="00101B4C" w:rsidP="00A864D5">
      <w:pPr>
        <w:ind w:left="720" w:firstLine="0"/>
        <w:rPr>
          <w:rFonts w:eastAsiaTheme="majorEastAsia" w:cs="Times New Roman"/>
          <w:szCs w:val="24"/>
        </w:rPr>
      </w:pPr>
    </w:p>
    <w:p w14:paraId="79FCBBF0" w14:textId="23954F68" w:rsidR="00276A5B" w:rsidRDefault="00276A5B" w:rsidP="00276A5B">
      <w:pPr>
        <w:ind w:firstLine="0"/>
      </w:pPr>
      <w:r>
        <w:t>In general, Harvey caused major wind and some storm surge damage from Matagorda Bay and south while making landfall and then caused major flooding over the following days from Victoria and north generally within 90 miles of the coastline along major rivers and tributaries.  Some utilities have experienced previous flooding events, but not to the magnitude of Harvey, with the exception of CenterPoint during Allison in 2001.  Below is a summary of the rainfall totals.</w:t>
      </w:r>
    </w:p>
    <w:p w14:paraId="6FC2EACF" w14:textId="77777777" w:rsidR="00276A5B" w:rsidRDefault="00276A5B" w:rsidP="00276A5B">
      <w:pPr>
        <w:ind w:firstLine="0"/>
      </w:pPr>
    </w:p>
    <w:p w14:paraId="23B6F486" w14:textId="77777777" w:rsidR="00276A5B" w:rsidRDefault="00276A5B" w:rsidP="00276A5B">
      <w:pPr>
        <w:ind w:firstLine="0"/>
      </w:pPr>
      <w:r>
        <w:rPr>
          <w:noProof/>
        </w:rPr>
        <w:drawing>
          <wp:inline distT="0" distB="0" distL="0" distR="0" wp14:anchorId="3CCF6CC1" wp14:editId="7C8C0B2A">
            <wp:extent cx="5725633" cy="3847674"/>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25633" cy="3847674"/>
                    </a:xfrm>
                    <a:prstGeom prst="rect">
                      <a:avLst/>
                    </a:prstGeom>
                  </pic:spPr>
                </pic:pic>
              </a:graphicData>
            </a:graphic>
          </wp:inline>
        </w:drawing>
      </w:r>
    </w:p>
    <w:p w14:paraId="2C23F1B7" w14:textId="77777777" w:rsidR="00276A5B" w:rsidRPr="00DE67AF" w:rsidRDefault="00276A5B" w:rsidP="00A864D5">
      <w:pPr>
        <w:ind w:left="720" w:firstLine="0"/>
        <w:rPr>
          <w:rFonts w:eastAsiaTheme="majorEastAsia" w:cs="Times New Roman"/>
          <w:szCs w:val="24"/>
        </w:rPr>
      </w:pPr>
    </w:p>
    <w:p w14:paraId="58033587" w14:textId="323CDBE6" w:rsidR="0090142A" w:rsidRDefault="00A864D5" w:rsidP="0090142A">
      <w:pPr>
        <w:ind w:firstLine="720"/>
      </w:pPr>
      <w:r w:rsidRPr="0090142A">
        <w:rPr>
          <w:b/>
          <w:u w:val="single"/>
        </w:rPr>
        <w:lastRenderedPageBreak/>
        <w:t>ETI Response</w:t>
      </w:r>
      <w:r w:rsidRPr="0090142A">
        <w:t>:</w:t>
      </w:r>
    </w:p>
    <w:p w14:paraId="0E294E18" w14:textId="77777777" w:rsidR="00A864D5" w:rsidRPr="0090142A" w:rsidRDefault="00A864D5" w:rsidP="0090142A">
      <w:pPr>
        <w:ind w:left="1440" w:firstLine="0"/>
      </w:pPr>
      <w:r w:rsidRPr="0090142A">
        <w:t>Seventeen substations are considered to have taken flood waters, most with minor repairs.  Six substations were completely flooded.</w:t>
      </w:r>
    </w:p>
    <w:p w14:paraId="61A59E39" w14:textId="77777777" w:rsidR="00101B4C" w:rsidRPr="00DE67AF" w:rsidRDefault="00101B4C" w:rsidP="00A864D5">
      <w:pPr>
        <w:ind w:left="720" w:firstLine="0"/>
        <w:rPr>
          <w:rFonts w:eastAsiaTheme="majorEastAsia" w:cs="Times New Roman"/>
          <w:szCs w:val="24"/>
        </w:rPr>
      </w:pPr>
    </w:p>
    <w:tbl>
      <w:tblPr>
        <w:tblStyle w:val="TableGrid"/>
        <w:tblW w:w="0" w:type="auto"/>
        <w:tblInd w:w="720" w:type="dxa"/>
        <w:tblLook w:val="04A0" w:firstRow="1" w:lastRow="0" w:firstColumn="1" w:lastColumn="0" w:noHBand="0" w:noVBand="1"/>
      </w:tblPr>
      <w:tblGrid>
        <w:gridCol w:w="2268"/>
        <w:gridCol w:w="4500"/>
        <w:gridCol w:w="2088"/>
      </w:tblGrid>
      <w:tr w:rsidR="00C97244" w14:paraId="2CC3410A" w14:textId="77777777" w:rsidTr="00C97244">
        <w:tc>
          <w:tcPr>
            <w:tcW w:w="2268" w:type="dxa"/>
          </w:tcPr>
          <w:p w14:paraId="29B3D0B1" w14:textId="77777777" w:rsidR="00C97244" w:rsidRDefault="00C97244" w:rsidP="00A864D5">
            <w:pPr>
              <w:ind w:firstLine="0"/>
            </w:pPr>
            <w:r>
              <w:t>Substation</w:t>
            </w:r>
          </w:p>
        </w:tc>
        <w:tc>
          <w:tcPr>
            <w:tcW w:w="4500" w:type="dxa"/>
          </w:tcPr>
          <w:p w14:paraId="7259E3EC" w14:textId="77777777" w:rsidR="00C97244" w:rsidRDefault="00C97244" w:rsidP="00A864D5">
            <w:pPr>
              <w:ind w:firstLine="0"/>
            </w:pPr>
            <w:r>
              <w:t>Harvey Damage</w:t>
            </w:r>
          </w:p>
        </w:tc>
        <w:tc>
          <w:tcPr>
            <w:tcW w:w="2088" w:type="dxa"/>
          </w:tcPr>
          <w:p w14:paraId="7D89DBD4" w14:textId="77777777" w:rsidR="00C97244" w:rsidRDefault="00C97244" w:rsidP="00A864D5">
            <w:pPr>
              <w:ind w:firstLine="0"/>
            </w:pPr>
            <w:r>
              <w:t>Previous Flooding</w:t>
            </w:r>
          </w:p>
        </w:tc>
      </w:tr>
      <w:tr w:rsidR="00C97244" w14:paraId="6193DC52" w14:textId="77777777" w:rsidTr="00C97244">
        <w:tc>
          <w:tcPr>
            <w:tcW w:w="2268" w:type="dxa"/>
          </w:tcPr>
          <w:p w14:paraId="59A2DB32" w14:textId="77777777" w:rsidR="00C97244" w:rsidRPr="00C97244" w:rsidRDefault="00C97244" w:rsidP="00A864D5">
            <w:pPr>
              <w:ind w:firstLine="0"/>
              <w:rPr>
                <w:sz w:val="16"/>
              </w:rPr>
            </w:pPr>
            <w:r w:rsidRPr="00C97244">
              <w:rPr>
                <w:sz w:val="16"/>
              </w:rPr>
              <w:t>Kountze Bulk 138 kV</w:t>
            </w:r>
          </w:p>
        </w:tc>
        <w:tc>
          <w:tcPr>
            <w:tcW w:w="4500" w:type="dxa"/>
          </w:tcPr>
          <w:p w14:paraId="57C000B4" w14:textId="77777777" w:rsidR="00C97244" w:rsidRPr="00C97244" w:rsidRDefault="00C97244" w:rsidP="00C97244">
            <w:pPr>
              <w:pStyle w:val="ListParagraph"/>
              <w:numPr>
                <w:ilvl w:val="0"/>
                <w:numId w:val="2"/>
              </w:numPr>
              <w:rPr>
                <w:sz w:val="16"/>
              </w:rPr>
            </w:pPr>
            <w:r w:rsidRPr="00C97244">
              <w:rPr>
                <w:sz w:val="16"/>
              </w:rPr>
              <w:t>Three feet of water was observed in the raised control house.</w:t>
            </w:r>
          </w:p>
          <w:p w14:paraId="7BE7D6AC" w14:textId="77777777" w:rsidR="00C97244" w:rsidRPr="00C97244" w:rsidRDefault="00C97244" w:rsidP="00C97244">
            <w:pPr>
              <w:pStyle w:val="ListParagraph"/>
              <w:numPr>
                <w:ilvl w:val="0"/>
                <w:numId w:val="2"/>
              </w:numPr>
              <w:rPr>
                <w:sz w:val="16"/>
              </w:rPr>
            </w:pPr>
            <w:r w:rsidRPr="00C97244">
              <w:rPr>
                <w:sz w:val="16"/>
              </w:rPr>
              <w:t>All breakers submerged (Three feeder breakers, one main breaker, three EHV breakers).</w:t>
            </w:r>
          </w:p>
          <w:p w14:paraId="08238A29" w14:textId="77777777" w:rsidR="00C97244" w:rsidRPr="00C97244" w:rsidRDefault="00C97244" w:rsidP="00C97244">
            <w:pPr>
              <w:pStyle w:val="ListParagraph"/>
              <w:numPr>
                <w:ilvl w:val="0"/>
                <w:numId w:val="2"/>
              </w:numPr>
              <w:rPr>
                <w:sz w:val="16"/>
              </w:rPr>
            </w:pPr>
            <w:r w:rsidRPr="00C97244">
              <w:rPr>
                <w:sz w:val="16"/>
              </w:rPr>
              <w:t>Transformer control cabinet submerged.</w:t>
            </w:r>
          </w:p>
          <w:p w14:paraId="5677FC2B" w14:textId="77777777" w:rsidR="00C97244" w:rsidRPr="00C97244" w:rsidRDefault="00C97244" w:rsidP="00A864D5">
            <w:pPr>
              <w:ind w:firstLine="0"/>
              <w:rPr>
                <w:sz w:val="16"/>
              </w:rPr>
            </w:pPr>
          </w:p>
        </w:tc>
        <w:tc>
          <w:tcPr>
            <w:tcW w:w="2088" w:type="dxa"/>
          </w:tcPr>
          <w:p w14:paraId="5411DD14" w14:textId="77777777" w:rsidR="001343FD" w:rsidRPr="0090142A" w:rsidRDefault="001343FD" w:rsidP="001343FD">
            <w:pPr>
              <w:ind w:firstLine="0"/>
              <w:rPr>
                <w:rFonts w:eastAsia="Calibri" w:cs="Times New Roman"/>
                <w:sz w:val="16"/>
                <w:szCs w:val="16"/>
              </w:rPr>
            </w:pPr>
            <w:r w:rsidRPr="0090142A">
              <w:rPr>
                <w:rFonts w:eastAsia="Calibri" w:cs="Times New Roman"/>
                <w:sz w:val="16"/>
                <w:szCs w:val="16"/>
              </w:rPr>
              <w:t>Yes</w:t>
            </w:r>
            <w:r w:rsidR="0090142A">
              <w:rPr>
                <w:rFonts w:eastAsia="Calibri" w:cs="Times New Roman"/>
                <w:sz w:val="16"/>
                <w:szCs w:val="16"/>
              </w:rPr>
              <w:t>.</w:t>
            </w:r>
          </w:p>
          <w:p w14:paraId="4C5B31D7" w14:textId="77777777" w:rsidR="00C97244" w:rsidRPr="0090142A" w:rsidRDefault="0090142A" w:rsidP="001343FD">
            <w:pPr>
              <w:ind w:firstLine="0"/>
              <w:rPr>
                <w:sz w:val="20"/>
                <w:szCs w:val="20"/>
              </w:rPr>
            </w:pPr>
            <w:r w:rsidRPr="0090142A">
              <w:rPr>
                <w:rFonts w:cs="Times New Roman"/>
                <w:sz w:val="16"/>
                <w:szCs w:val="16"/>
              </w:rPr>
              <w:t>Control house flooding damaging IT equipment batteries, protective relaying and RTU</w:t>
            </w:r>
          </w:p>
        </w:tc>
      </w:tr>
      <w:tr w:rsidR="00C97244" w14:paraId="435FBABC" w14:textId="77777777" w:rsidTr="00C97244">
        <w:tc>
          <w:tcPr>
            <w:tcW w:w="2268" w:type="dxa"/>
          </w:tcPr>
          <w:p w14:paraId="0078201E" w14:textId="77777777" w:rsidR="00C97244" w:rsidRPr="00C97244" w:rsidRDefault="00C97244" w:rsidP="00A864D5">
            <w:pPr>
              <w:ind w:firstLine="0"/>
              <w:rPr>
                <w:sz w:val="16"/>
              </w:rPr>
            </w:pPr>
            <w:r w:rsidRPr="00C97244">
              <w:rPr>
                <w:sz w:val="16"/>
              </w:rPr>
              <w:t>Amelia Bulk 230 kV and 69 kV</w:t>
            </w:r>
          </w:p>
        </w:tc>
        <w:tc>
          <w:tcPr>
            <w:tcW w:w="4500" w:type="dxa"/>
          </w:tcPr>
          <w:p w14:paraId="1B74C8B6" w14:textId="77777777" w:rsidR="00C97244" w:rsidRPr="00C97244" w:rsidRDefault="00C97244" w:rsidP="00C97244">
            <w:pPr>
              <w:pStyle w:val="ListParagraph"/>
              <w:numPr>
                <w:ilvl w:val="0"/>
                <w:numId w:val="2"/>
              </w:numPr>
              <w:rPr>
                <w:sz w:val="16"/>
              </w:rPr>
            </w:pPr>
            <w:r w:rsidRPr="00C97244">
              <w:rPr>
                <w:sz w:val="16"/>
              </w:rPr>
              <w:t>Over four feet of water observed at control house that had previously installed 3.5 feet of flood mitigation.</w:t>
            </w:r>
          </w:p>
          <w:p w14:paraId="6A44AF3B" w14:textId="77777777" w:rsidR="00C97244" w:rsidRPr="00C97244" w:rsidRDefault="00C97244" w:rsidP="00C97244">
            <w:pPr>
              <w:pStyle w:val="ListParagraph"/>
              <w:numPr>
                <w:ilvl w:val="0"/>
                <w:numId w:val="2"/>
              </w:numPr>
              <w:rPr>
                <w:sz w:val="16"/>
              </w:rPr>
            </w:pPr>
            <w:r w:rsidRPr="00C97244">
              <w:rPr>
                <w:sz w:val="16"/>
              </w:rPr>
              <w:t xml:space="preserve">Transmission breaker flooding. </w:t>
            </w:r>
          </w:p>
          <w:p w14:paraId="680349DA" w14:textId="77777777" w:rsidR="00C97244" w:rsidRPr="00C97244" w:rsidRDefault="00C97244" w:rsidP="00C97244">
            <w:pPr>
              <w:pStyle w:val="ListParagraph"/>
              <w:numPr>
                <w:ilvl w:val="0"/>
                <w:numId w:val="2"/>
              </w:numPr>
              <w:rPr>
                <w:sz w:val="16"/>
              </w:rPr>
            </w:pPr>
            <w:r w:rsidRPr="00C97244">
              <w:rPr>
                <w:sz w:val="16"/>
              </w:rPr>
              <w:t>Transformer control cabinet submerged.</w:t>
            </w:r>
          </w:p>
          <w:p w14:paraId="6135296D" w14:textId="77777777" w:rsidR="00C97244" w:rsidRPr="00C97244" w:rsidRDefault="00C97244" w:rsidP="00A864D5">
            <w:pPr>
              <w:ind w:firstLine="0"/>
              <w:rPr>
                <w:sz w:val="16"/>
              </w:rPr>
            </w:pPr>
          </w:p>
        </w:tc>
        <w:tc>
          <w:tcPr>
            <w:tcW w:w="2088" w:type="dxa"/>
          </w:tcPr>
          <w:p w14:paraId="4F8336C1" w14:textId="77777777" w:rsidR="0090142A" w:rsidRPr="0090142A" w:rsidRDefault="0090142A" w:rsidP="0090142A">
            <w:pPr>
              <w:ind w:firstLine="0"/>
              <w:rPr>
                <w:rFonts w:eastAsia="Calibri" w:cs="Times New Roman"/>
                <w:sz w:val="16"/>
                <w:szCs w:val="16"/>
              </w:rPr>
            </w:pPr>
            <w:r w:rsidRPr="0090142A">
              <w:rPr>
                <w:rFonts w:eastAsia="Calibri" w:cs="Times New Roman"/>
                <w:sz w:val="16"/>
                <w:szCs w:val="16"/>
              </w:rPr>
              <w:t>Yes</w:t>
            </w:r>
            <w:r>
              <w:rPr>
                <w:rFonts w:eastAsia="Calibri" w:cs="Times New Roman"/>
                <w:sz w:val="16"/>
                <w:szCs w:val="16"/>
              </w:rPr>
              <w:t>.</w:t>
            </w:r>
          </w:p>
          <w:p w14:paraId="77D86320" w14:textId="77777777" w:rsidR="00C97244" w:rsidRPr="00C97244" w:rsidRDefault="0090142A" w:rsidP="0090142A">
            <w:pPr>
              <w:ind w:firstLine="0"/>
              <w:rPr>
                <w:sz w:val="16"/>
              </w:rPr>
            </w:pPr>
            <w:r w:rsidRPr="0090142A">
              <w:rPr>
                <w:rFonts w:cs="Times New Roman"/>
                <w:sz w:val="16"/>
                <w:szCs w:val="16"/>
              </w:rPr>
              <w:t>Control house flooding damaging IT equipment batteries, protective relaying and RTU</w:t>
            </w:r>
          </w:p>
        </w:tc>
      </w:tr>
      <w:tr w:rsidR="00C97244" w14:paraId="1C626142" w14:textId="77777777" w:rsidTr="00C97244">
        <w:tc>
          <w:tcPr>
            <w:tcW w:w="2268" w:type="dxa"/>
          </w:tcPr>
          <w:p w14:paraId="4A8B9EBB" w14:textId="77777777" w:rsidR="00C97244" w:rsidRDefault="00C97244" w:rsidP="00A864D5">
            <w:pPr>
              <w:ind w:firstLine="0"/>
            </w:pPr>
            <w:r w:rsidRPr="00C97244">
              <w:rPr>
                <w:sz w:val="16"/>
              </w:rPr>
              <w:t>Bevil 230 kV</w:t>
            </w:r>
          </w:p>
        </w:tc>
        <w:tc>
          <w:tcPr>
            <w:tcW w:w="4500" w:type="dxa"/>
          </w:tcPr>
          <w:p w14:paraId="69553D01" w14:textId="77777777" w:rsidR="00C97244" w:rsidRPr="00C97244" w:rsidRDefault="00C97244" w:rsidP="00C97244">
            <w:pPr>
              <w:pStyle w:val="ListParagraph"/>
              <w:numPr>
                <w:ilvl w:val="0"/>
                <w:numId w:val="2"/>
              </w:numPr>
              <w:rPr>
                <w:sz w:val="16"/>
              </w:rPr>
            </w:pPr>
            <w:r w:rsidRPr="00C97244">
              <w:rPr>
                <w:sz w:val="16"/>
              </w:rPr>
              <w:t xml:space="preserve">Over six feet of water observed at control house. </w:t>
            </w:r>
          </w:p>
          <w:p w14:paraId="06123DBD" w14:textId="77777777" w:rsidR="00C97244" w:rsidRPr="00C97244" w:rsidRDefault="00C97244" w:rsidP="00C97244">
            <w:pPr>
              <w:pStyle w:val="ListParagraph"/>
              <w:numPr>
                <w:ilvl w:val="0"/>
                <w:numId w:val="2"/>
              </w:numPr>
              <w:rPr>
                <w:sz w:val="16"/>
              </w:rPr>
            </w:pPr>
            <w:r w:rsidRPr="00C97244">
              <w:rPr>
                <w:sz w:val="16"/>
              </w:rPr>
              <w:t xml:space="preserve">All breakers submerged </w:t>
            </w:r>
          </w:p>
          <w:p w14:paraId="04D71E22" w14:textId="77777777" w:rsidR="00C97244" w:rsidRPr="00C97244" w:rsidRDefault="00C97244" w:rsidP="00C97244">
            <w:pPr>
              <w:pStyle w:val="ListParagraph"/>
              <w:numPr>
                <w:ilvl w:val="0"/>
                <w:numId w:val="2"/>
              </w:numPr>
              <w:rPr>
                <w:sz w:val="16"/>
              </w:rPr>
            </w:pPr>
            <w:r w:rsidRPr="00C97244">
              <w:rPr>
                <w:sz w:val="16"/>
              </w:rPr>
              <w:t>Transformer control cabinet submerged.</w:t>
            </w:r>
          </w:p>
          <w:p w14:paraId="4BABA0BE" w14:textId="77777777" w:rsidR="00C97244" w:rsidRPr="00C97244" w:rsidRDefault="00C97244" w:rsidP="00A864D5">
            <w:pPr>
              <w:ind w:firstLine="0"/>
              <w:rPr>
                <w:sz w:val="16"/>
                <w:szCs w:val="16"/>
              </w:rPr>
            </w:pPr>
          </w:p>
        </w:tc>
        <w:tc>
          <w:tcPr>
            <w:tcW w:w="2088" w:type="dxa"/>
          </w:tcPr>
          <w:p w14:paraId="1242812D" w14:textId="77777777" w:rsidR="00C97244" w:rsidRPr="001343FD" w:rsidRDefault="001343FD" w:rsidP="00A864D5">
            <w:pPr>
              <w:ind w:firstLine="0"/>
              <w:rPr>
                <w:sz w:val="16"/>
                <w:szCs w:val="16"/>
              </w:rPr>
            </w:pPr>
            <w:r w:rsidRPr="001343FD">
              <w:rPr>
                <w:sz w:val="16"/>
                <w:szCs w:val="16"/>
              </w:rPr>
              <w:t>No</w:t>
            </w:r>
          </w:p>
        </w:tc>
      </w:tr>
      <w:tr w:rsidR="00C97244" w14:paraId="59E3ECCC" w14:textId="77777777" w:rsidTr="00C97244">
        <w:tc>
          <w:tcPr>
            <w:tcW w:w="2268" w:type="dxa"/>
          </w:tcPr>
          <w:p w14:paraId="0539E684" w14:textId="77777777" w:rsidR="00C97244" w:rsidRDefault="00C97244" w:rsidP="00A864D5">
            <w:pPr>
              <w:ind w:firstLine="0"/>
            </w:pPr>
            <w:r w:rsidRPr="00C97244">
              <w:rPr>
                <w:sz w:val="16"/>
              </w:rPr>
              <w:t>Vidor 69 kV</w:t>
            </w:r>
          </w:p>
        </w:tc>
        <w:tc>
          <w:tcPr>
            <w:tcW w:w="4500" w:type="dxa"/>
          </w:tcPr>
          <w:p w14:paraId="194CF8A6" w14:textId="77777777" w:rsidR="00F249BF" w:rsidRPr="00F249BF" w:rsidRDefault="00F249BF" w:rsidP="00F249BF">
            <w:pPr>
              <w:pStyle w:val="ListParagraph"/>
              <w:numPr>
                <w:ilvl w:val="0"/>
                <w:numId w:val="2"/>
              </w:numPr>
              <w:rPr>
                <w:sz w:val="16"/>
              </w:rPr>
            </w:pPr>
            <w:r w:rsidRPr="00F249BF">
              <w:rPr>
                <w:sz w:val="16"/>
              </w:rPr>
              <w:t>Three feet of water inside control house.</w:t>
            </w:r>
          </w:p>
          <w:p w14:paraId="38EBAF9A" w14:textId="77777777" w:rsidR="00F249BF" w:rsidRPr="00F249BF" w:rsidRDefault="00F249BF" w:rsidP="00F249BF">
            <w:pPr>
              <w:pStyle w:val="ListParagraph"/>
              <w:numPr>
                <w:ilvl w:val="0"/>
                <w:numId w:val="2"/>
              </w:numPr>
              <w:rPr>
                <w:sz w:val="16"/>
              </w:rPr>
            </w:pPr>
            <w:r w:rsidRPr="00F249BF">
              <w:rPr>
                <w:sz w:val="16"/>
              </w:rPr>
              <w:t xml:space="preserve">All breaker control cabinets were submerged. </w:t>
            </w:r>
          </w:p>
          <w:p w14:paraId="44BC82BC" w14:textId="77777777" w:rsidR="00F249BF" w:rsidRPr="00F249BF" w:rsidRDefault="00F249BF" w:rsidP="00F249BF">
            <w:pPr>
              <w:pStyle w:val="ListParagraph"/>
              <w:numPr>
                <w:ilvl w:val="0"/>
                <w:numId w:val="2"/>
              </w:numPr>
              <w:rPr>
                <w:sz w:val="16"/>
              </w:rPr>
            </w:pPr>
            <w:r w:rsidRPr="00F249BF">
              <w:rPr>
                <w:sz w:val="16"/>
              </w:rPr>
              <w:t>Transformer control cabinet submerged.</w:t>
            </w:r>
          </w:p>
          <w:p w14:paraId="0EF02D55" w14:textId="77777777" w:rsidR="00C97244" w:rsidRPr="00F249BF" w:rsidRDefault="00C97244" w:rsidP="00F249BF">
            <w:pPr>
              <w:ind w:firstLine="0"/>
              <w:rPr>
                <w:sz w:val="16"/>
                <w:szCs w:val="16"/>
              </w:rPr>
            </w:pPr>
          </w:p>
        </w:tc>
        <w:tc>
          <w:tcPr>
            <w:tcW w:w="2088" w:type="dxa"/>
          </w:tcPr>
          <w:p w14:paraId="2F07D0D9" w14:textId="77777777" w:rsidR="00C97244" w:rsidRDefault="001343FD" w:rsidP="00A864D5">
            <w:pPr>
              <w:ind w:firstLine="0"/>
            </w:pPr>
            <w:r w:rsidRPr="001343FD">
              <w:rPr>
                <w:sz w:val="16"/>
                <w:szCs w:val="16"/>
              </w:rPr>
              <w:t>No</w:t>
            </w:r>
          </w:p>
        </w:tc>
      </w:tr>
      <w:tr w:rsidR="00C97244" w14:paraId="1DC1F271" w14:textId="77777777" w:rsidTr="00C97244">
        <w:tc>
          <w:tcPr>
            <w:tcW w:w="2268" w:type="dxa"/>
          </w:tcPr>
          <w:p w14:paraId="18003164" w14:textId="77777777" w:rsidR="00C97244" w:rsidRDefault="00F249BF" w:rsidP="00A864D5">
            <w:pPr>
              <w:ind w:firstLine="0"/>
            </w:pPr>
            <w:r w:rsidRPr="00F249BF">
              <w:rPr>
                <w:sz w:val="16"/>
              </w:rPr>
              <w:t>McDonald 230 kV</w:t>
            </w:r>
          </w:p>
        </w:tc>
        <w:tc>
          <w:tcPr>
            <w:tcW w:w="4500" w:type="dxa"/>
          </w:tcPr>
          <w:p w14:paraId="5A7396A7" w14:textId="77777777" w:rsidR="00F249BF" w:rsidRPr="00F249BF" w:rsidRDefault="00F249BF" w:rsidP="00F249BF">
            <w:pPr>
              <w:pStyle w:val="ListParagraph"/>
              <w:numPr>
                <w:ilvl w:val="0"/>
                <w:numId w:val="2"/>
              </w:numPr>
              <w:rPr>
                <w:sz w:val="16"/>
              </w:rPr>
            </w:pPr>
            <w:r w:rsidRPr="00F249BF">
              <w:rPr>
                <w:sz w:val="16"/>
              </w:rPr>
              <w:t xml:space="preserve">Over five feet of water observed at the control house. </w:t>
            </w:r>
          </w:p>
          <w:p w14:paraId="1F676FE5" w14:textId="77777777" w:rsidR="00F249BF" w:rsidRPr="00F249BF" w:rsidRDefault="00F249BF" w:rsidP="00F249BF">
            <w:pPr>
              <w:pStyle w:val="ListParagraph"/>
              <w:numPr>
                <w:ilvl w:val="0"/>
                <w:numId w:val="2"/>
              </w:numPr>
              <w:rPr>
                <w:sz w:val="16"/>
              </w:rPr>
            </w:pPr>
            <w:r w:rsidRPr="00F249BF">
              <w:rPr>
                <w:sz w:val="16"/>
              </w:rPr>
              <w:t xml:space="preserve">All breakers submerged </w:t>
            </w:r>
          </w:p>
          <w:p w14:paraId="5E3C54E5" w14:textId="77777777" w:rsidR="00F249BF" w:rsidRPr="00F249BF" w:rsidRDefault="00F249BF" w:rsidP="00F249BF">
            <w:pPr>
              <w:pStyle w:val="ListParagraph"/>
              <w:numPr>
                <w:ilvl w:val="0"/>
                <w:numId w:val="2"/>
              </w:numPr>
              <w:rPr>
                <w:sz w:val="16"/>
              </w:rPr>
            </w:pPr>
            <w:r w:rsidRPr="00F249BF">
              <w:rPr>
                <w:sz w:val="16"/>
              </w:rPr>
              <w:t>Transformer control cabinet submerged.</w:t>
            </w:r>
          </w:p>
          <w:p w14:paraId="4B91B194" w14:textId="77777777" w:rsidR="00C97244" w:rsidRPr="00F249BF" w:rsidRDefault="00C97244" w:rsidP="00F249BF">
            <w:pPr>
              <w:pStyle w:val="ListParagraph"/>
              <w:ind w:left="360" w:firstLine="0"/>
              <w:rPr>
                <w:sz w:val="16"/>
                <w:szCs w:val="16"/>
              </w:rPr>
            </w:pPr>
          </w:p>
        </w:tc>
        <w:tc>
          <w:tcPr>
            <w:tcW w:w="2088" w:type="dxa"/>
          </w:tcPr>
          <w:p w14:paraId="2F56532F" w14:textId="77777777" w:rsidR="00C97244" w:rsidRDefault="001343FD" w:rsidP="00A864D5">
            <w:pPr>
              <w:ind w:firstLine="0"/>
            </w:pPr>
            <w:r w:rsidRPr="001343FD">
              <w:rPr>
                <w:sz w:val="16"/>
                <w:szCs w:val="16"/>
              </w:rPr>
              <w:t>No</w:t>
            </w:r>
          </w:p>
        </w:tc>
      </w:tr>
      <w:tr w:rsidR="00C97244" w14:paraId="58FD1DA3" w14:textId="77777777" w:rsidTr="00C97244">
        <w:tc>
          <w:tcPr>
            <w:tcW w:w="2268" w:type="dxa"/>
          </w:tcPr>
          <w:p w14:paraId="347E8DA7" w14:textId="77777777" w:rsidR="00C97244" w:rsidRPr="00F249BF" w:rsidRDefault="00F249BF" w:rsidP="00F249BF">
            <w:pPr>
              <w:ind w:firstLine="0"/>
              <w:rPr>
                <w:sz w:val="16"/>
              </w:rPr>
            </w:pPr>
            <w:r w:rsidRPr="00F249BF">
              <w:rPr>
                <w:sz w:val="16"/>
              </w:rPr>
              <w:t>Viway 138 kV</w:t>
            </w:r>
          </w:p>
        </w:tc>
        <w:tc>
          <w:tcPr>
            <w:tcW w:w="4500" w:type="dxa"/>
          </w:tcPr>
          <w:p w14:paraId="760D06C6" w14:textId="77777777" w:rsidR="00F249BF" w:rsidRPr="00F249BF" w:rsidRDefault="00F249BF" w:rsidP="00F249BF">
            <w:pPr>
              <w:pStyle w:val="ListParagraph"/>
              <w:numPr>
                <w:ilvl w:val="0"/>
                <w:numId w:val="2"/>
              </w:numPr>
              <w:rPr>
                <w:sz w:val="16"/>
              </w:rPr>
            </w:pPr>
            <w:r w:rsidRPr="00F249BF">
              <w:rPr>
                <w:sz w:val="16"/>
              </w:rPr>
              <w:t xml:space="preserve">Over six feet of water observed at the control house. </w:t>
            </w:r>
          </w:p>
          <w:p w14:paraId="6CC9C23A" w14:textId="77777777" w:rsidR="00F249BF" w:rsidRPr="00F249BF" w:rsidRDefault="00F249BF" w:rsidP="00F249BF">
            <w:pPr>
              <w:pStyle w:val="ListParagraph"/>
              <w:numPr>
                <w:ilvl w:val="0"/>
                <w:numId w:val="2"/>
              </w:numPr>
              <w:rPr>
                <w:sz w:val="16"/>
              </w:rPr>
            </w:pPr>
            <w:r w:rsidRPr="00F249BF">
              <w:rPr>
                <w:sz w:val="16"/>
              </w:rPr>
              <w:t xml:space="preserve">All breakers submerged. </w:t>
            </w:r>
          </w:p>
          <w:p w14:paraId="132D2548" w14:textId="77777777" w:rsidR="00F249BF" w:rsidRPr="00F249BF" w:rsidRDefault="00F249BF" w:rsidP="00F249BF">
            <w:pPr>
              <w:pStyle w:val="ListParagraph"/>
              <w:numPr>
                <w:ilvl w:val="0"/>
                <w:numId w:val="2"/>
              </w:numPr>
              <w:rPr>
                <w:sz w:val="16"/>
              </w:rPr>
            </w:pPr>
            <w:r w:rsidRPr="00F249BF">
              <w:rPr>
                <w:sz w:val="16"/>
              </w:rPr>
              <w:t>Transformer control cabinet submerged.</w:t>
            </w:r>
          </w:p>
          <w:p w14:paraId="45FBF886" w14:textId="77777777" w:rsidR="00C97244" w:rsidRPr="00F249BF" w:rsidRDefault="00C97244" w:rsidP="00A864D5">
            <w:pPr>
              <w:ind w:firstLine="0"/>
              <w:rPr>
                <w:sz w:val="16"/>
                <w:szCs w:val="16"/>
              </w:rPr>
            </w:pPr>
          </w:p>
        </w:tc>
        <w:tc>
          <w:tcPr>
            <w:tcW w:w="2088" w:type="dxa"/>
          </w:tcPr>
          <w:p w14:paraId="6E79FD73" w14:textId="77777777" w:rsidR="00C97244" w:rsidRDefault="00101B4C" w:rsidP="00A864D5">
            <w:pPr>
              <w:ind w:firstLine="0"/>
            </w:pPr>
            <w:r w:rsidRPr="001343FD">
              <w:rPr>
                <w:sz w:val="16"/>
                <w:szCs w:val="16"/>
              </w:rPr>
              <w:t>No</w:t>
            </w:r>
          </w:p>
        </w:tc>
      </w:tr>
      <w:tr w:rsidR="00C97244" w14:paraId="578891CC" w14:textId="77777777" w:rsidTr="00C97244">
        <w:tc>
          <w:tcPr>
            <w:tcW w:w="2268" w:type="dxa"/>
          </w:tcPr>
          <w:p w14:paraId="0166CF9C" w14:textId="77777777" w:rsidR="00C97244" w:rsidRPr="00F249BF" w:rsidRDefault="00F249BF" w:rsidP="00A864D5">
            <w:pPr>
              <w:ind w:firstLine="0"/>
              <w:rPr>
                <w:sz w:val="16"/>
              </w:rPr>
            </w:pPr>
            <w:r w:rsidRPr="00F249BF">
              <w:rPr>
                <w:sz w:val="16"/>
              </w:rPr>
              <w:t>11 Additional Substations</w:t>
            </w:r>
            <w:r w:rsidR="000C1F57">
              <w:rPr>
                <w:sz w:val="16"/>
              </w:rPr>
              <w:t>*</w:t>
            </w:r>
          </w:p>
        </w:tc>
        <w:tc>
          <w:tcPr>
            <w:tcW w:w="4500" w:type="dxa"/>
          </w:tcPr>
          <w:p w14:paraId="60373B88" w14:textId="77777777" w:rsidR="00F249BF" w:rsidRPr="00F249BF" w:rsidRDefault="00F249BF" w:rsidP="00F249BF">
            <w:pPr>
              <w:pStyle w:val="ListParagraph"/>
              <w:numPr>
                <w:ilvl w:val="0"/>
                <w:numId w:val="2"/>
              </w:numPr>
              <w:rPr>
                <w:sz w:val="16"/>
              </w:rPr>
            </w:pPr>
            <w:r>
              <w:rPr>
                <w:sz w:val="16"/>
              </w:rPr>
              <w:t>Minor flooding</w:t>
            </w:r>
            <w:r w:rsidRPr="00F249BF">
              <w:rPr>
                <w:sz w:val="16"/>
              </w:rPr>
              <w:t xml:space="preserve">. </w:t>
            </w:r>
          </w:p>
          <w:p w14:paraId="41F3C286" w14:textId="77777777" w:rsidR="00F249BF" w:rsidRPr="00F249BF" w:rsidRDefault="00F249BF" w:rsidP="00F249BF">
            <w:pPr>
              <w:pStyle w:val="ListParagraph"/>
              <w:numPr>
                <w:ilvl w:val="0"/>
                <w:numId w:val="2"/>
              </w:numPr>
              <w:rPr>
                <w:sz w:val="16"/>
              </w:rPr>
            </w:pPr>
            <w:r>
              <w:rPr>
                <w:sz w:val="16"/>
              </w:rPr>
              <w:t>Minor repairs</w:t>
            </w:r>
            <w:r w:rsidRPr="00F249BF">
              <w:rPr>
                <w:sz w:val="16"/>
              </w:rPr>
              <w:t xml:space="preserve">. </w:t>
            </w:r>
          </w:p>
          <w:p w14:paraId="3F7A661F" w14:textId="77777777" w:rsidR="00C97244" w:rsidRDefault="00C97244" w:rsidP="00A864D5">
            <w:pPr>
              <w:ind w:firstLine="0"/>
            </w:pPr>
          </w:p>
        </w:tc>
        <w:tc>
          <w:tcPr>
            <w:tcW w:w="2088" w:type="dxa"/>
          </w:tcPr>
          <w:p w14:paraId="55AC8C20" w14:textId="77777777" w:rsidR="00C97244" w:rsidRPr="00101B4C" w:rsidRDefault="001B0683" w:rsidP="00A864D5">
            <w:pPr>
              <w:ind w:firstLine="0"/>
              <w:rPr>
                <w:sz w:val="16"/>
                <w:szCs w:val="16"/>
              </w:rPr>
            </w:pPr>
            <w:r>
              <w:rPr>
                <w:rFonts w:eastAsia="Calibri" w:cs="Times New Roman"/>
                <w:sz w:val="16"/>
                <w:szCs w:val="16"/>
              </w:rPr>
              <w:t>No</w:t>
            </w:r>
          </w:p>
        </w:tc>
      </w:tr>
    </w:tbl>
    <w:p w14:paraId="2D4E27B6" w14:textId="77777777" w:rsidR="000A5821" w:rsidRDefault="000C1F57" w:rsidP="000C1F57">
      <w:pPr>
        <w:ind w:left="720" w:firstLine="0"/>
        <w:rPr>
          <w:sz w:val="16"/>
        </w:rPr>
      </w:pPr>
      <w:r w:rsidRPr="000C1F57">
        <w:rPr>
          <w:sz w:val="16"/>
        </w:rPr>
        <w:t>*AMELIA NORTH, DEWYVILLE JNE, ECHO, FAWIL, GULFWAY, MAYHAW, ORANGE BULK, PORT ACRES BULK, RAYWOOD, SABRA, STOWELL</w:t>
      </w:r>
    </w:p>
    <w:p w14:paraId="20F19335" w14:textId="77777777" w:rsidR="00B50B63" w:rsidRDefault="00B50B63" w:rsidP="0090142A">
      <w:pPr>
        <w:ind w:left="720" w:firstLine="0"/>
        <w:rPr>
          <w:b/>
          <w:u w:val="single"/>
        </w:rPr>
      </w:pPr>
    </w:p>
    <w:p w14:paraId="2A563A79" w14:textId="77777777" w:rsidR="0090142A" w:rsidRPr="00C348F2" w:rsidRDefault="0090142A" w:rsidP="0090142A">
      <w:pPr>
        <w:ind w:left="720" w:firstLine="0"/>
        <w:rPr>
          <w:b/>
        </w:rPr>
      </w:pPr>
      <w:r w:rsidRPr="0024392D">
        <w:rPr>
          <w:b/>
          <w:u w:val="single"/>
        </w:rPr>
        <w:t>TNMP Response</w:t>
      </w:r>
      <w:r>
        <w:rPr>
          <w:b/>
        </w:rPr>
        <w:t>:</w:t>
      </w:r>
    </w:p>
    <w:p w14:paraId="490E0721" w14:textId="77777777" w:rsidR="000A5821" w:rsidRDefault="000A5821" w:rsidP="0090142A">
      <w:pPr>
        <w:ind w:left="1440" w:firstLine="0"/>
      </w:pPr>
      <w:r>
        <w:t>TNMP had a single distribution substation (Dickinson Substation) in its Gulf Coast service territory which experience</w:t>
      </w:r>
      <w:r w:rsidR="00DE626C">
        <w:t>d</w:t>
      </w:r>
      <w:r>
        <w:t xml:space="preserve"> significant flooding which resulted in the need to remove it from service until the flood waters receded.  As far as the extent of the flooding, water broached the control house which resulted in some water damage to panels internal to the control house and water also broached some older circuit breaker cabinets in the substation itself.  Once crews were able to access the area the actual repairs were minor before service could be restored.  Most other TNMP substation and switching station facilities fared quite well during the event.  The only other significant facility which was flooded was the Construction Center/Engineering Offices located in Texas City which resulted in office flooding that required clean-up and repair.  The remainder of Harvey damage related to flooding was mostly focused on distribution facilities that were installed both above and below-ground in the form of padmount/UG transformers, cable and pedestal metering installations.</w:t>
      </w:r>
    </w:p>
    <w:p w14:paraId="3A34484B" w14:textId="77777777" w:rsidR="000A5821" w:rsidRDefault="000A5821" w:rsidP="000A5821">
      <w:pPr>
        <w:ind w:left="1440" w:firstLine="0"/>
      </w:pPr>
      <w:r>
        <w:t>As far as prior flooding events within the previous 15 years TNMP had not experienced an even</w:t>
      </w:r>
      <w:r w:rsidR="00DE626C">
        <w:t>t</w:t>
      </w:r>
      <w:r>
        <w:t xml:space="preserve"> this large in either substations or any of its other facilities.  This was truly an unprecedented event related to storm issues from a water perspective as TNMP had experienced wind and rain damage during Hurricanes Ike and Rita but those storms did not have the same impacts across TNMP’s system.</w:t>
      </w:r>
    </w:p>
    <w:p w14:paraId="5A6A1103" w14:textId="77777777" w:rsidR="00CC69A4" w:rsidRDefault="00CC69A4" w:rsidP="000A5821">
      <w:pPr>
        <w:ind w:left="1440" w:firstLine="0"/>
      </w:pPr>
    </w:p>
    <w:p w14:paraId="02C62DC8" w14:textId="77777777" w:rsidR="0090142A" w:rsidRDefault="0090142A" w:rsidP="0090142A">
      <w:pPr>
        <w:pStyle w:val="ListParagraph"/>
        <w:ind w:left="1440"/>
        <w:rPr>
          <w:szCs w:val="24"/>
        </w:rPr>
      </w:pPr>
      <w:r w:rsidRPr="0090142A">
        <w:rPr>
          <w:b/>
          <w:szCs w:val="24"/>
          <w:u w:val="single"/>
        </w:rPr>
        <w:t>AEP Texas Response:</w:t>
      </w:r>
    </w:p>
    <w:p w14:paraId="07D6FE8B" w14:textId="77777777" w:rsidR="0090142A" w:rsidRDefault="0090142A" w:rsidP="0090142A">
      <w:pPr>
        <w:pStyle w:val="ListParagraph"/>
        <w:ind w:left="1440" w:firstLine="0"/>
        <w:rPr>
          <w:szCs w:val="24"/>
        </w:rPr>
      </w:pPr>
    </w:p>
    <w:p w14:paraId="5DEFC668" w14:textId="77777777" w:rsidR="0090142A" w:rsidRPr="0090142A" w:rsidRDefault="0090142A" w:rsidP="0090142A">
      <w:pPr>
        <w:pStyle w:val="ListParagraph"/>
        <w:ind w:left="1440" w:firstLine="0"/>
        <w:rPr>
          <w:szCs w:val="24"/>
        </w:rPr>
      </w:pPr>
      <w:r w:rsidRPr="0090142A">
        <w:rPr>
          <w:szCs w:val="24"/>
        </w:rPr>
        <w:t>AEP Texas facilities (e.g., a substation) were not subjected to flooding as a result of Hurricane Harvey.  While AEP Texas did have some flooding at the El Campo Station in 2004, the flooding was not hurricane-related.  Similarly, AEP facilities have not suffered hurricane-related flooding in at least the 15 years before Hurricane Harvey.</w:t>
      </w:r>
    </w:p>
    <w:p w14:paraId="529B5F2F" w14:textId="77777777" w:rsidR="0090142A" w:rsidRDefault="0090142A" w:rsidP="000F1770">
      <w:pPr>
        <w:ind w:left="1440" w:firstLine="0"/>
        <w:rPr>
          <w:szCs w:val="24"/>
        </w:rPr>
      </w:pPr>
      <w:r w:rsidRPr="0090142A">
        <w:rPr>
          <w:szCs w:val="24"/>
        </w:rPr>
        <w:t xml:space="preserve">For the AEP Texas Transmission system, the intense winds and airborne debris were the primary source of damage, with some additional damage to substations due to storm surge flooding.  </w:t>
      </w:r>
      <w:r w:rsidR="00783D2F" w:rsidRPr="00783D2F">
        <w:rPr>
          <w:szCs w:val="24"/>
        </w:rPr>
        <w:t>A combination of debris impact and storm surge damaged fencing, collapsed steel structures, caused some erosion and damaged components in control cabinets, including relays and associated components such as fuse blocks, terminal blocks and auxiliary relays.  In some instances, cooling fan motors on transformers were damaged and station battery banks failed.</w:t>
      </w:r>
    </w:p>
    <w:p w14:paraId="6F978C7E" w14:textId="77777777" w:rsidR="00CC69A4" w:rsidRDefault="00CC69A4" w:rsidP="000F1770">
      <w:pPr>
        <w:ind w:left="2340" w:hanging="1620"/>
        <w:rPr>
          <w:b/>
          <w:u w:val="single"/>
        </w:rPr>
      </w:pPr>
    </w:p>
    <w:p w14:paraId="2D9F6FB5" w14:textId="77777777" w:rsidR="000F1770" w:rsidRPr="000F1770" w:rsidRDefault="000F1770" w:rsidP="000F1770">
      <w:pPr>
        <w:ind w:left="2340" w:hanging="1620"/>
        <w:rPr>
          <w:b/>
          <w:u w:val="single"/>
        </w:rPr>
      </w:pPr>
      <w:r w:rsidRPr="000F1770">
        <w:rPr>
          <w:b/>
          <w:u w:val="single"/>
        </w:rPr>
        <w:t>CNP Response</w:t>
      </w:r>
      <w:r>
        <w:rPr>
          <w:b/>
          <w:u w:val="single"/>
        </w:rPr>
        <w:t>:</w:t>
      </w:r>
    </w:p>
    <w:p w14:paraId="588D403B" w14:textId="77777777" w:rsidR="000F1770" w:rsidRPr="000F1770" w:rsidRDefault="000F1770" w:rsidP="00CB0394">
      <w:pPr>
        <w:ind w:left="1440" w:firstLine="0"/>
      </w:pPr>
      <w:r w:rsidRPr="000F1770">
        <w:t>Three San Jacinto River transmission crossings were damaged during Harvey.  This represents unprecedented transmission system flood damage at least as far back as Tropical Storm Allison (2001).</w:t>
      </w:r>
    </w:p>
    <w:p w14:paraId="3DE5EA3B" w14:textId="77777777" w:rsidR="000F1770" w:rsidRPr="000F1770" w:rsidRDefault="000F1770" w:rsidP="00CB0394">
      <w:pPr>
        <w:ind w:left="1440" w:firstLine="0"/>
      </w:pPr>
      <w:r w:rsidRPr="000F1770">
        <w:t>Eight substations were impacted, and nine additional substations were inaccessible, due to Harvey flooding.  CNP has experienced some level of substation flooding during prior events.</w:t>
      </w:r>
    </w:p>
    <w:p w14:paraId="3857A842" w14:textId="77777777" w:rsidR="000F1770" w:rsidRPr="000F1770" w:rsidRDefault="000F1770" w:rsidP="000F1770">
      <w:pPr>
        <w:pStyle w:val="ListParagraph"/>
        <w:numPr>
          <w:ilvl w:val="0"/>
          <w:numId w:val="17"/>
        </w:numPr>
      </w:pPr>
      <w:r w:rsidRPr="000F1770">
        <w:t>Allison flooding impacted mainly the Houston Downtown District (HDD) and Texas Medical Center (TMC) areas.  Post Allison, flood walls were installed at two substations.  One of these substations would have been impacted by Harvey if the flood wall had not been in place.</w:t>
      </w:r>
    </w:p>
    <w:p w14:paraId="15DEC91E" w14:textId="77777777" w:rsidR="000F1770" w:rsidRPr="000F1770" w:rsidRDefault="000F1770" w:rsidP="000F1770">
      <w:pPr>
        <w:pStyle w:val="ListParagraph"/>
        <w:numPr>
          <w:ilvl w:val="0"/>
          <w:numId w:val="17"/>
        </w:numPr>
      </w:pPr>
      <w:r w:rsidRPr="000F1770">
        <w:t>Hurricane Ike (2008) flooding/storm surge impacted coastal substations in the Galveston and Freeport areas.  In response, CNP has addressed storm surge at coastal substations in the Galveston and Freeport areas.  None of these substations were impacted by Harvey.</w:t>
      </w:r>
    </w:p>
    <w:p w14:paraId="1ED62EE9" w14:textId="77777777" w:rsidR="000F1770" w:rsidRPr="000F1770" w:rsidRDefault="000F1770" w:rsidP="000F1770">
      <w:pPr>
        <w:pStyle w:val="ListParagraph"/>
        <w:numPr>
          <w:ilvl w:val="0"/>
          <w:numId w:val="17"/>
        </w:numPr>
      </w:pPr>
      <w:r w:rsidRPr="000F1770">
        <w:t>The Memorial Day (2015) and Tax Day (2016) floods impacted one substation.  In response to the Memorial Day event, CNP implemented an operational solution to mitigate the impact of flooding in this substation. The operational solution was also implemented during the Tax Day flood and Harvey.</w:t>
      </w:r>
    </w:p>
    <w:p w14:paraId="19D25E2A" w14:textId="77777777" w:rsidR="000F1770" w:rsidRPr="000F1770" w:rsidRDefault="000F1770" w:rsidP="00CB0394">
      <w:pPr>
        <w:spacing w:after="200" w:line="276" w:lineRule="auto"/>
        <w:ind w:left="1440" w:firstLine="0"/>
        <w:rPr>
          <w:color w:val="000000" w:themeColor="text1"/>
        </w:rPr>
      </w:pPr>
      <w:r w:rsidRPr="000F1770">
        <w:rPr>
          <w:color w:val="000000" w:themeColor="text1"/>
        </w:rPr>
        <w:t>Harvey impacted 83 dedicated underground vaults in the HDD area, while Allison impacted 355 dedicated underground vaults in the HDD and TMC areas.</w:t>
      </w:r>
    </w:p>
    <w:p w14:paraId="3673299B" w14:textId="5C266417" w:rsidR="000F1770" w:rsidRDefault="000F1770" w:rsidP="00CB0394">
      <w:pPr>
        <w:ind w:left="1440" w:firstLine="0"/>
      </w:pPr>
      <w:r w:rsidRPr="000F1770">
        <w:t xml:space="preserve">Compared to </w:t>
      </w:r>
      <w:r w:rsidR="006C7A3C">
        <w:t>damage experienced during more typical weather events (i.e. heavy thunderstorms, minor localized flooding, etc.)</w:t>
      </w:r>
      <w:r w:rsidRPr="000F1770">
        <w:t xml:space="preserve">, </w:t>
      </w:r>
      <w:r w:rsidR="006C7A3C">
        <w:t xml:space="preserve">CNP’s distribution system experienced a slight increase in damage due to  </w:t>
      </w:r>
      <w:r w:rsidRPr="000F1770">
        <w:t>Harvey</w:t>
      </w:r>
      <w:r w:rsidR="006C7A3C">
        <w:t xml:space="preserve">.  The types of equipment impacted by this increase in damage were </w:t>
      </w:r>
      <w:r w:rsidRPr="000F1770">
        <w:t xml:space="preserve">URD Transformers, Pole Mounted Electronics, and Meters.  One exception to </w:t>
      </w:r>
      <w:r w:rsidR="006C7A3C">
        <w:t xml:space="preserve">more typical weather events </w:t>
      </w:r>
      <w:r w:rsidRPr="000F1770">
        <w:t>is that four distribution river crossings were impacted.</w:t>
      </w:r>
    </w:p>
    <w:p w14:paraId="7B0FE98F" w14:textId="47DAB300" w:rsidR="003471E2" w:rsidRPr="00D338AD" w:rsidRDefault="003471E2" w:rsidP="003471E2">
      <w:pPr>
        <w:pStyle w:val="ListParagraph"/>
        <w:numPr>
          <w:ilvl w:val="3"/>
          <w:numId w:val="30"/>
        </w:numPr>
        <w:spacing w:after="0" w:line="276" w:lineRule="auto"/>
        <w:ind w:left="2160"/>
        <w:jc w:val="both"/>
        <w:rPr>
          <w:rFonts w:eastAsia="Times New Roman" w:cs="Times New Roman"/>
          <w:sz w:val="22"/>
        </w:rPr>
      </w:pPr>
      <w:r w:rsidRPr="00D338AD">
        <w:t xml:space="preserve">This statement speaks primarily to the performance of CNP’s Underground Residential </w:t>
      </w:r>
      <w:r w:rsidR="006C7A3C">
        <w:t>Distribution</w:t>
      </w:r>
      <w:r w:rsidRPr="00D338AD">
        <w:t xml:space="preserve"> (URD) facilities.  Harvey resulted in the following URD related outages vs historical outage rates over for a similar time period (i.e. typical is summer in this case).</w:t>
      </w:r>
    </w:p>
    <w:p w14:paraId="2C801361" w14:textId="77777777" w:rsidR="003471E2" w:rsidRPr="00D338AD" w:rsidRDefault="003471E2" w:rsidP="00D338AD">
      <w:pPr>
        <w:pStyle w:val="ListParagraph"/>
        <w:numPr>
          <w:ilvl w:val="4"/>
          <w:numId w:val="30"/>
        </w:numPr>
        <w:spacing w:after="0" w:line="276" w:lineRule="auto"/>
        <w:jc w:val="both"/>
        <w:rPr>
          <w:rFonts w:eastAsia="Times New Roman" w:cs="Times New Roman"/>
          <w:sz w:val="22"/>
        </w:rPr>
      </w:pPr>
      <w:r w:rsidRPr="00D338AD">
        <w:t xml:space="preserve">Failed URD Transformers = 192 (typical = 80, 240% increase) </w:t>
      </w:r>
    </w:p>
    <w:p w14:paraId="4874309A" w14:textId="77777777" w:rsidR="003471E2" w:rsidRPr="00D338AD" w:rsidRDefault="003471E2" w:rsidP="00D338AD">
      <w:pPr>
        <w:pStyle w:val="ListParagraph"/>
        <w:numPr>
          <w:ilvl w:val="4"/>
          <w:numId w:val="30"/>
        </w:numPr>
        <w:spacing w:after="0" w:line="276" w:lineRule="auto"/>
        <w:jc w:val="both"/>
        <w:rPr>
          <w:rFonts w:eastAsia="Times New Roman" w:cs="Times New Roman"/>
          <w:sz w:val="22"/>
        </w:rPr>
      </w:pPr>
      <w:r w:rsidRPr="00D338AD">
        <w:t>Blown URD Transformer Fuses = 1,246 (typical = 89, 660% increase)</w:t>
      </w:r>
    </w:p>
    <w:p w14:paraId="2C795EE9" w14:textId="77777777" w:rsidR="003471E2" w:rsidRPr="00D338AD" w:rsidRDefault="003471E2" w:rsidP="00D338AD">
      <w:pPr>
        <w:pStyle w:val="ListParagraph"/>
        <w:numPr>
          <w:ilvl w:val="4"/>
          <w:numId w:val="30"/>
        </w:numPr>
        <w:spacing w:after="0" w:line="276" w:lineRule="auto"/>
        <w:jc w:val="both"/>
        <w:rPr>
          <w:rFonts w:eastAsia="Times New Roman" w:cs="Times New Roman"/>
          <w:sz w:val="22"/>
        </w:rPr>
      </w:pPr>
      <w:r w:rsidRPr="00D338AD">
        <w:t>Blown URD Terminal Pole Fuses = 42 (typical = 9, 470% increase)</w:t>
      </w:r>
    </w:p>
    <w:p w14:paraId="473AD7C0" w14:textId="77777777" w:rsidR="003471E2" w:rsidRPr="00D338AD" w:rsidRDefault="003471E2" w:rsidP="003471E2">
      <w:pPr>
        <w:pStyle w:val="ListParagraph"/>
        <w:numPr>
          <w:ilvl w:val="3"/>
          <w:numId w:val="30"/>
        </w:numPr>
        <w:spacing w:after="0" w:line="276" w:lineRule="auto"/>
        <w:ind w:left="2160"/>
        <w:jc w:val="both"/>
        <w:rPr>
          <w:rFonts w:eastAsia="Times New Roman" w:cs="Times New Roman"/>
          <w:sz w:val="22"/>
        </w:rPr>
      </w:pPr>
      <w:r w:rsidRPr="00D338AD">
        <w:t>CNP has seen similar outage rate increases on the URD system for past flooding events that significantly impacted heavy residential areas with URD facilities.</w:t>
      </w:r>
    </w:p>
    <w:p w14:paraId="3773C90D" w14:textId="77777777" w:rsidR="003471E2" w:rsidRPr="00D338AD" w:rsidRDefault="003471E2" w:rsidP="003471E2">
      <w:pPr>
        <w:pStyle w:val="ListParagraph"/>
        <w:numPr>
          <w:ilvl w:val="3"/>
          <w:numId w:val="30"/>
        </w:numPr>
        <w:spacing w:after="0" w:line="276" w:lineRule="auto"/>
        <w:ind w:left="2160"/>
        <w:jc w:val="both"/>
        <w:rPr>
          <w:rFonts w:eastAsia="Times New Roman" w:cs="Times New Roman"/>
          <w:sz w:val="22"/>
        </w:rPr>
      </w:pPr>
      <w:r w:rsidRPr="00D338AD">
        <w:t>The totals above are based on outages over a 13 day period.</w:t>
      </w:r>
    </w:p>
    <w:p w14:paraId="6FF4CB91" w14:textId="77777777" w:rsidR="003471E2" w:rsidRPr="00D338AD" w:rsidRDefault="003471E2" w:rsidP="003471E2">
      <w:pPr>
        <w:pStyle w:val="ListParagraph"/>
        <w:numPr>
          <w:ilvl w:val="3"/>
          <w:numId w:val="30"/>
        </w:numPr>
        <w:spacing w:after="0" w:line="276" w:lineRule="auto"/>
        <w:ind w:left="2160"/>
        <w:jc w:val="both"/>
        <w:rPr>
          <w:rFonts w:eastAsia="Times New Roman" w:cs="Times New Roman"/>
          <w:sz w:val="22"/>
        </w:rPr>
      </w:pPr>
      <w:r w:rsidRPr="00D338AD">
        <w:t>CNP defines Harvey as the 13 days from when CNP Trouble Level 1 (TL1) was exceeded to when CNP returned to TL1).</w:t>
      </w:r>
    </w:p>
    <w:p w14:paraId="1D325D55" w14:textId="77777777" w:rsidR="003471E2" w:rsidRPr="00D338AD" w:rsidRDefault="003471E2" w:rsidP="003471E2">
      <w:pPr>
        <w:pStyle w:val="ListParagraph"/>
        <w:numPr>
          <w:ilvl w:val="3"/>
          <w:numId w:val="30"/>
        </w:numPr>
        <w:spacing w:after="0" w:line="276" w:lineRule="auto"/>
        <w:ind w:left="2160"/>
        <w:jc w:val="both"/>
        <w:rPr>
          <w:rFonts w:eastAsia="Times New Roman" w:cs="Times New Roman"/>
          <w:sz w:val="22"/>
        </w:rPr>
      </w:pPr>
      <w:r w:rsidRPr="00D338AD">
        <w:t>Approximately 10,000 meters were also replaced.  These meters were identified through CNP’s Advanced Meter System and verified with field inspection.</w:t>
      </w:r>
    </w:p>
    <w:p w14:paraId="30334FD6" w14:textId="77777777" w:rsidR="003471E2" w:rsidRPr="00D338AD" w:rsidRDefault="003471E2" w:rsidP="00D338AD">
      <w:pPr>
        <w:pStyle w:val="ListParagraph"/>
        <w:numPr>
          <w:ilvl w:val="4"/>
          <w:numId w:val="30"/>
        </w:numPr>
        <w:spacing w:after="0" w:line="276" w:lineRule="auto"/>
        <w:jc w:val="both"/>
        <w:rPr>
          <w:rFonts w:eastAsia="Times New Roman" w:cs="Times New Roman"/>
          <w:sz w:val="22"/>
        </w:rPr>
      </w:pPr>
      <w:r w:rsidRPr="00D338AD">
        <w:t>This would not have been a typical flood related issue because past flooding events did not reach the flood levels (i.e. height of flood water) experienced with Harvey.</w:t>
      </w:r>
    </w:p>
    <w:p w14:paraId="3B8A82EF" w14:textId="77777777" w:rsidR="00EB1D47" w:rsidRDefault="00EB1D47" w:rsidP="00CB0394">
      <w:pPr>
        <w:ind w:left="1440" w:firstLine="0"/>
      </w:pPr>
    </w:p>
    <w:p w14:paraId="32141A14" w14:textId="77777777" w:rsidR="00276A5B" w:rsidRDefault="00276A5B" w:rsidP="00CB0394">
      <w:pPr>
        <w:ind w:left="1440" w:firstLine="0"/>
      </w:pPr>
    </w:p>
    <w:p w14:paraId="4BCDDB86" w14:textId="77777777" w:rsidR="00CB0394" w:rsidRPr="00CB0394" w:rsidRDefault="00CB0394" w:rsidP="00CB0394">
      <w:pPr>
        <w:ind w:left="720" w:firstLine="0"/>
        <w:rPr>
          <w:b/>
          <w:u w:val="single"/>
        </w:rPr>
      </w:pPr>
      <w:r w:rsidRPr="00CB0394">
        <w:rPr>
          <w:b/>
          <w:u w:val="single"/>
        </w:rPr>
        <w:t>LCRA TSC Response:</w:t>
      </w:r>
    </w:p>
    <w:p w14:paraId="336B6F35" w14:textId="77777777" w:rsidR="00CB0394" w:rsidRPr="00CB0394" w:rsidRDefault="00CB0394" w:rsidP="00CB0394">
      <w:pPr>
        <w:ind w:left="1440" w:firstLine="0"/>
        <w:rPr>
          <w:szCs w:val="24"/>
        </w:rPr>
      </w:pPr>
      <w:r w:rsidRPr="00CB0394">
        <w:rPr>
          <w:szCs w:val="24"/>
        </w:rPr>
        <w:t>LCRA TSC did not have any substations with flood water damage during hurricane Harvey. However LCRA TSC did have the following transmission lines get damaged by high winds and debris during the event:</w:t>
      </w:r>
    </w:p>
    <w:p w14:paraId="3B9621B1" w14:textId="77777777" w:rsidR="00CB0394" w:rsidRPr="00CB0394" w:rsidRDefault="00CB0394" w:rsidP="00CB0394">
      <w:pPr>
        <w:pStyle w:val="ListParagraph"/>
        <w:numPr>
          <w:ilvl w:val="0"/>
          <w:numId w:val="21"/>
        </w:numPr>
        <w:rPr>
          <w:szCs w:val="24"/>
        </w:rPr>
      </w:pPr>
      <w:r w:rsidRPr="00CB0394">
        <w:rPr>
          <w:szCs w:val="24"/>
        </w:rPr>
        <w:t>Rockport to Fulton - T474</w:t>
      </w:r>
    </w:p>
    <w:p w14:paraId="09974A30" w14:textId="77777777" w:rsidR="00CB0394" w:rsidRPr="00CB0394" w:rsidRDefault="00CB0394" w:rsidP="00CB0394">
      <w:pPr>
        <w:ind w:left="2880" w:firstLine="0"/>
        <w:rPr>
          <w:szCs w:val="24"/>
        </w:rPr>
      </w:pPr>
      <w:r w:rsidRPr="00CB0394">
        <w:rPr>
          <w:szCs w:val="24"/>
        </w:rPr>
        <w:t xml:space="preserve">The Rockport to Fulton 69kV line is approximately 7.4 miles long and generally runs parallel to Hwy 1069 connecting the Rockport Substation with the Fulton substation. The single circuit, single conductor line is constructed in delta configuration on steel monopoles. The center phase had broken bolts that connected the insulators to the pole, damaged brace post insulators and significant wire damage at dozens of locations along the phase. </w:t>
      </w:r>
    </w:p>
    <w:p w14:paraId="0C05C079" w14:textId="77777777" w:rsidR="00CB0394" w:rsidRPr="00CB0394" w:rsidRDefault="00CB0394" w:rsidP="00CB0394">
      <w:pPr>
        <w:pStyle w:val="ListParagraph"/>
        <w:numPr>
          <w:ilvl w:val="0"/>
          <w:numId w:val="21"/>
        </w:numPr>
        <w:rPr>
          <w:szCs w:val="24"/>
        </w:rPr>
      </w:pPr>
      <w:r w:rsidRPr="00CB0394">
        <w:rPr>
          <w:szCs w:val="24"/>
        </w:rPr>
        <w:t>North Padre Tap to Port Aransas</w:t>
      </w:r>
      <w:r w:rsidR="00DE67AF" w:rsidRPr="00CB0394">
        <w:rPr>
          <w:szCs w:val="24"/>
        </w:rPr>
        <w:t xml:space="preserve"> - </w:t>
      </w:r>
      <w:r w:rsidRPr="00CB0394">
        <w:rPr>
          <w:szCs w:val="24"/>
        </w:rPr>
        <w:t>T477</w:t>
      </w:r>
    </w:p>
    <w:p w14:paraId="53B59BCD" w14:textId="77777777" w:rsidR="00CB0394" w:rsidRPr="00CB0394" w:rsidRDefault="00CB0394" w:rsidP="00CB0394">
      <w:pPr>
        <w:ind w:left="2880" w:firstLine="0"/>
        <w:rPr>
          <w:szCs w:val="24"/>
        </w:rPr>
      </w:pPr>
      <w:r w:rsidRPr="00CB0394">
        <w:rPr>
          <w:szCs w:val="24"/>
        </w:rPr>
        <w:t>The North Padre Tap to Port Aransas 69 kV single circuit line is approximately 15 miles long and runs parallel to HWY 361 on Mustang Island connecting the Naval Base Substation with Port Aransas Substation. The line is cut in the middle by the Mustang Island substation. The line is constructed with both steel and concrete monopoles on a variety of foundation types. The North Padre Tap to Port Aransas line received minimal apparent damage from the impacts of Hurricane Harvey.</w:t>
      </w:r>
    </w:p>
    <w:p w14:paraId="7926EA00" w14:textId="77777777" w:rsidR="00CB0394" w:rsidRPr="00CB0394" w:rsidRDefault="00CB0394" w:rsidP="00CB0394">
      <w:pPr>
        <w:pStyle w:val="ListParagraph"/>
        <w:numPr>
          <w:ilvl w:val="0"/>
          <w:numId w:val="21"/>
        </w:numPr>
        <w:rPr>
          <w:szCs w:val="24"/>
        </w:rPr>
      </w:pPr>
      <w:r w:rsidRPr="00CB0394">
        <w:rPr>
          <w:szCs w:val="24"/>
        </w:rPr>
        <w:t>Rincon to Rockport</w:t>
      </w:r>
      <w:r w:rsidR="00DE67AF" w:rsidRPr="00CB0394">
        <w:rPr>
          <w:szCs w:val="24"/>
        </w:rPr>
        <w:t xml:space="preserve"> - </w:t>
      </w:r>
      <w:r w:rsidRPr="00CB0394">
        <w:rPr>
          <w:szCs w:val="24"/>
        </w:rPr>
        <w:t>T473</w:t>
      </w:r>
    </w:p>
    <w:p w14:paraId="64EBFCBB" w14:textId="77777777" w:rsidR="00CB0394" w:rsidRPr="00CB0394" w:rsidRDefault="00CB0394" w:rsidP="00CB0394">
      <w:pPr>
        <w:ind w:left="2880" w:firstLine="0"/>
        <w:rPr>
          <w:szCs w:val="24"/>
        </w:rPr>
      </w:pPr>
      <w:r w:rsidRPr="00CB0394">
        <w:rPr>
          <w:szCs w:val="24"/>
        </w:rPr>
        <w:t>The 138 kV Rincon to Rockport line is a single circuit line that parallels HWY 188 and County Road 1258 for most of its 15.1 miles. The line received minimal apparent damage and was re-energized on 8/30/2017 at 19:56, connecting the Rincon Substation with the Rockport Substation.</w:t>
      </w:r>
    </w:p>
    <w:p w14:paraId="48394E2D" w14:textId="77777777" w:rsidR="00276A5B" w:rsidRDefault="00276A5B" w:rsidP="002C16C3">
      <w:pPr>
        <w:ind w:firstLine="720"/>
        <w:rPr>
          <w:b/>
          <w:u w:val="single"/>
        </w:rPr>
      </w:pPr>
    </w:p>
    <w:p w14:paraId="4C4B8027" w14:textId="6E352190" w:rsidR="002C16C3" w:rsidRDefault="002C16C3" w:rsidP="002C16C3">
      <w:pPr>
        <w:ind w:firstLine="720"/>
      </w:pPr>
      <w:r>
        <w:rPr>
          <w:b/>
          <w:u w:val="single"/>
        </w:rPr>
        <w:t>Sharyland</w:t>
      </w:r>
      <w:r w:rsidRPr="0090142A">
        <w:rPr>
          <w:b/>
          <w:u w:val="single"/>
        </w:rPr>
        <w:t xml:space="preserve"> Response</w:t>
      </w:r>
      <w:r w:rsidRPr="0090142A">
        <w:t>:</w:t>
      </w:r>
    </w:p>
    <w:p w14:paraId="0780396E" w14:textId="77777777" w:rsidR="00DE626C" w:rsidRDefault="002C16C3" w:rsidP="00DE626C">
      <w:pPr>
        <w:tabs>
          <w:tab w:val="left" w:pos="2250"/>
        </w:tabs>
        <w:ind w:left="1440" w:firstLine="0"/>
      </w:pPr>
      <w:r w:rsidRPr="002C16C3">
        <w:t xml:space="preserve">Sharyland Utilities’ transmission </w:t>
      </w:r>
      <w:r w:rsidR="00DE626C">
        <w:t>and</w:t>
      </w:r>
      <w:r w:rsidR="00DE626C" w:rsidRPr="002C16C3">
        <w:t xml:space="preserve"> </w:t>
      </w:r>
      <w:r w:rsidRPr="002C16C3">
        <w:t xml:space="preserve">substation facilities </w:t>
      </w:r>
      <w:r w:rsidR="00DE626C">
        <w:t xml:space="preserve">in the Brownsville area of the Lower Rio Grande Valley </w:t>
      </w:r>
      <w:r w:rsidRPr="002C16C3">
        <w:t xml:space="preserve">were not impacted by wind or water during Hurricane Harvey.  The facilities went </w:t>
      </w:r>
      <w:r w:rsidR="006279CE">
        <w:t>into service in mid-2016</w:t>
      </w:r>
      <w:r w:rsidRPr="002C16C3">
        <w:t xml:space="preserve"> and have not been subjected to other hurricanes during the past 15 years.</w:t>
      </w:r>
      <w:r w:rsidR="00DE626C">
        <w:t xml:space="preserve"> </w:t>
      </w:r>
      <w:r w:rsidRPr="002C16C3">
        <w:t xml:space="preserve"> </w:t>
      </w:r>
      <w:r w:rsidR="00DE626C">
        <w:t>The facilities referenced include:</w:t>
      </w:r>
    </w:p>
    <w:p w14:paraId="5D27DB98" w14:textId="77777777" w:rsidR="00DE626C" w:rsidRPr="00D338AD" w:rsidRDefault="00DE626C" w:rsidP="00DE626C">
      <w:pPr>
        <w:pStyle w:val="ListParagraph"/>
        <w:numPr>
          <w:ilvl w:val="1"/>
          <w:numId w:val="32"/>
        </w:numPr>
        <w:spacing w:after="0" w:line="240" w:lineRule="auto"/>
        <w:rPr>
          <w:sz w:val="22"/>
        </w:rPr>
      </w:pPr>
      <w:r w:rsidRPr="00D338AD">
        <w:rPr>
          <w:sz w:val="22"/>
        </w:rPr>
        <w:t xml:space="preserve">The 138 kV Stillman switching station under construction. </w:t>
      </w:r>
    </w:p>
    <w:p w14:paraId="5D203D9E" w14:textId="77777777" w:rsidR="00DE626C" w:rsidRPr="00D338AD" w:rsidRDefault="00DE626C" w:rsidP="00DE626C">
      <w:pPr>
        <w:pStyle w:val="ListParagraph"/>
        <w:numPr>
          <w:ilvl w:val="1"/>
          <w:numId w:val="32"/>
        </w:numPr>
        <w:spacing w:after="0" w:line="240" w:lineRule="auto"/>
        <w:rPr>
          <w:sz w:val="22"/>
        </w:rPr>
      </w:pPr>
      <w:r w:rsidRPr="00D338AD">
        <w:rPr>
          <w:sz w:val="22"/>
        </w:rPr>
        <w:t>The 138 kV lines under construction that will connect the Stillman switching station with the 345 kV to 138 kV Palmito substation</w:t>
      </w:r>
    </w:p>
    <w:p w14:paraId="38E8C9B7" w14:textId="77777777" w:rsidR="00DE626C" w:rsidRPr="00D338AD" w:rsidRDefault="00DE626C" w:rsidP="00DE626C">
      <w:pPr>
        <w:pStyle w:val="ListParagraph"/>
        <w:numPr>
          <w:ilvl w:val="1"/>
          <w:numId w:val="32"/>
        </w:numPr>
        <w:spacing w:after="0" w:line="240" w:lineRule="auto"/>
        <w:rPr>
          <w:sz w:val="22"/>
        </w:rPr>
      </w:pPr>
      <w:r w:rsidRPr="00D338AD">
        <w:rPr>
          <w:sz w:val="22"/>
        </w:rPr>
        <w:t>The 345 kV to 138 kV Palmito substation.</w:t>
      </w:r>
    </w:p>
    <w:p w14:paraId="558F39DC" w14:textId="77777777" w:rsidR="00DE626C" w:rsidRPr="00D338AD" w:rsidRDefault="00DE626C" w:rsidP="00DE626C">
      <w:pPr>
        <w:pStyle w:val="ListParagraph"/>
        <w:numPr>
          <w:ilvl w:val="1"/>
          <w:numId w:val="32"/>
        </w:numPr>
        <w:spacing w:after="0" w:line="240" w:lineRule="auto"/>
        <w:rPr>
          <w:sz w:val="22"/>
        </w:rPr>
      </w:pPr>
      <w:r w:rsidRPr="00D338AD">
        <w:rPr>
          <w:sz w:val="22"/>
        </w:rPr>
        <w:t>A majority of the 47 miles of 345kV line from the 345 kV to 138 kV Palmito substation halfway to AEP’s North Edinburg station</w:t>
      </w:r>
    </w:p>
    <w:p w14:paraId="72AB9897" w14:textId="77777777" w:rsidR="00DE626C" w:rsidRPr="00D338AD" w:rsidRDefault="00DE626C" w:rsidP="00DE626C">
      <w:pPr>
        <w:pStyle w:val="ListParagraph"/>
        <w:numPr>
          <w:ilvl w:val="1"/>
          <w:numId w:val="32"/>
        </w:numPr>
        <w:spacing w:after="0" w:line="240" w:lineRule="auto"/>
      </w:pPr>
      <w:r w:rsidRPr="00D338AD">
        <w:rPr>
          <w:sz w:val="22"/>
        </w:rPr>
        <w:t>The .58 miles of 138kV line currently connecting the Palmito substation to Brownsville Public Utilities Board’s Loma Alta station.   Upon completion of the Stillman switching station, the .58 miles of 138kV line will connect the Stillman switching station to Brownsville Public Utilities Board’s Loma Alta substation and in the future other lines to the AEP La Palma substation along with other connections.</w:t>
      </w:r>
    </w:p>
    <w:p w14:paraId="3C09D9BC" w14:textId="77777777" w:rsidR="002C16C3" w:rsidRDefault="002C16C3" w:rsidP="002C16C3">
      <w:pPr>
        <w:tabs>
          <w:tab w:val="left" w:pos="2250"/>
        </w:tabs>
        <w:ind w:left="1440" w:firstLine="0"/>
      </w:pPr>
    </w:p>
    <w:p w14:paraId="60F2C4F5" w14:textId="77777777" w:rsidR="00956367" w:rsidRDefault="00956367" w:rsidP="00DE626C">
      <w:pPr>
        <w:pStyle w:val="Heading2"/>
        <w:ind w:left="720"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Describe the steps that you have taken or plan to take in response to flooding resulting from Hurricane Harvey, in order to reduce the risk of </w:t>
      </w:r>
      <w:r w:rsidR="00021913" w:rsidRPr="005D7206">
        <w:rPr>
          <w:rFonts w:ascii="Times New Roman" w:hAnsi="Times New Roman" w:cs="Times New Roman"/>
          <w:color w:val="auto"/>
          <w:sz w:val="24"/>
          <w:szCs w:val="24"/>
        </w:rPr>
        <w:t xml:space="preserve">flood </w:t>
      </w:r>
      <w:r w:rsidRPr="005D7206">
        <w:rPr>
          <w:rFonts w:ascii="Times New Roman" w:hAnsi="Times New Roman" w:cs="Times New Roman"/>
          <w:color w:val="auto"/>
          <w:sz w:val="24"/>
          <w:szCs w:val="24"/>
        </w:rPr>
        <w:t>damage to your facilities in the future.</w:t>
      </w:r>
    </w:p>
    <w:p w14:paraId="5C7AC5AA" w14:textId="77777777" w:rsidR="00101B4C" w:rsidRPr="00DE67AF" w:rsidRDefault="00101B4C" w:rsidP="00CC35E7">
      <w:pPr>
        <w:tabs>
          <w:tab w:val="num" w:pos="720"/>
          <w:tab w:val="num" w:pos="1440"/>
        </w:tabs>
        <w:ind w:left="720" w:firstLine="0"/>
      </w:pPr>
    </w:p>
    <w:p w14:paraId="6CFE02B7" w14:textId="77777777" w:rsidR="0024392D" w:rsidRPr="00C348F2" w:rsidRDefault="00F249BF" w:rsidP="0024392D">
      <w:pPr>
        <w:ind w:left="720" w:firstLine="0"/>
      </w:pPr>
      <w:r w:rsidRPr="00C348F2">
        <w:rPr>
          <w:b/>
          <w:u w:val="single"/>
        </w:rPr>
        <w:t>ETI Response</w:t>
      </w:r>
      <w:r w:rsidRPr="00C348F2">
        <w:t>:</w:t>
      </w:r>
    </w:p>
    <w:p w14:paraId="67BB1F43" w14:textId="77777777" w:rsidR="00773978" w:rsidRDefault="00DE67AF" w:rsidP="0024392D">
      <w:pPr>
        <w:ind w:left="1440" w:firstLine="0"/>
      </w:pPr>
      <w:r>
        <w:t xml:space="preserve">ETI will: </w:t>
      </w:r>
      <w:r w:rsidR="00F249BF" w:rsidRPr="00C348F2">
        <w:t xml:space="preserve">1) </w:t>
      </w:r>
      <w:r w:rsidR="006F4C89" w:rsidRPr="00C348F2">
        <w:t>Rebuild completely flooded stations to a minimum of 100 year Base Flood Elevation</w:t>
      </w:r>
      <w:r w:rsidR="00F249BF" w:rsidRPr="00C348F2">
        <w:t xml:space="preserve">.  </w:t>
      </w:r>
      <w:r w:rsidR="006F4C89" w:rsidRPr="00C348F2">
        <w:t>Most</w:t>
      </w:r>
      <w:r>
        <w:t xml:space="preserve"> will be</w:t>
      </w:r>
      <w:r w:rsidR="006F4C89" w:rsidRPr="00C348F2">
        <w:t xml:space="preserve"> greater than 500 year BFE</w:t>
      </w:r>
      <w:r>
        <w:t>, but</w:t>
      </w:r>
      <w:r w:rsidR="00F249BF" w:rsidRPr="00C348F2">
        <w:t xml:space="preserve"> </w:t>
      </w:r>
      <w:r>
        <w:t>l</w:t>
      </w:r>
      <w:r w:rsidR="006F4C89" w:rsidRPr="00C348F2">
        <w:t>imited by existing station site elevation and structure type</w:t>
      </w:r>
      <w:r w:rsidR="00F249BF" w:rsidRPr="00C348F2">
        <w:t xml:space="preserve">.  2) </w:t>
      </w:r>
      <w:r w:rsidR="006F4C89" w:rsidRPr="00C348F2">
        <w:t>Develop a proposed flood mitigation plan for other flooded and high impact stations</w:t>
      </w:r>
      <w:r w:rsidR="00F249BF" w:rsidRPr="00C348F2">
        <w:t xml:space="preserve">.  3) </w:t>
      </w:r>
      <w:r w:rsidR="006F4C89" w:rsidRPr="00C348F2">
        <w:t>Revise the Station Elevation</w:t>
      </w:r>
      <w:r w:rsidR="00795BCC">
        <w:t xml:space="preserve"> section</w:t>
      </w:r>
      <w:r w:rsidR="006F4C89" w:rsidRPr="00C348F2">
        <w:t xml:space="preserve"> of the Entergy Substation Design Guide to provide increased protection from flooding in new stations and major additions to existing stations</w:t>
      </w:r>
      <w:r w:rsidR="00F249BF" w:rsidRPr="00C348F2">
        <w:t xml:space="preserve">.  4) </w:t>
      </w:r>
      <w:r w:rsidR="00CC35E7" w:rsidRPr="00C348F2">
        <w:t xml:space="preserve">Reassessment of </w:t>
      </w:r>
      <w:r w:rsidR="006F4C89" w:rsidRPr="00C348F2">
        <w:t>spare and mobile substation levels</w:t>
      </w:r>
      <w:r w:rsidR="00CC35E7" w:rsidRPr="00C348F2">
        <w:t>.</w:t>
      </w:r>
    </w:p>
    <w:p w14:paraId="10AB460D" w14:textId="330C184C" w:rsidR="00213C5C" w:rsidRPr="00C348F2" w:rsidRDefault="00213C5C" w:rsidP="0024392D">
      <w:pPr>
        <w:ind w:left="1440" w:firstLine="0"/>
      </w:pPr>
      <w:r w:rsidRPr="00B8688C">
        <w:t xml:space="preserve">The </w:t>
      </w:r>
      <w:r>
        <w:t>6</w:t>
      </w:r>
      <w:r w:rsidRPr="00B8688C">
        <w:t xml:space="preserve"> substations noted</w:t>
      </w:r>
      <w:r>
        <w:t xml:space="preserve"> above</w:t>
      </w:r>
      <w:r w:rsidRPr="00B8688C">
        <w:t xml:space="preserve"> as having major flooding due to Harvey are </w:t>
      </w:r>
      <w:r>
        <w:t xml:space="preserve">in various stages of </w:t>
      </w:r>
      <w:r w:rsidRPr="00B8688C">
        <w:t>being rebuilt</w:t>
      </w:r>
      <w:r>
        <w:t xml:space="preserve">.  The goal is to rebuild the substation equipment above the Harvey flood levels; however, this is impractical in some cases. </w:t>
      </w:r>
      <w:r w:rsidRPr="00195876">
        <w:rPr>
          <w:szCs w:val="24"/>
        </w:rPr>
        <w:t xml:space="preserve"> </w:t>
      </w:r>
      <w:r>
        <w:rPr>
          <w:szCs w:val="24"/>
        </w:rPr>
        <w:t xml:space="preserve">The water sensitive equipment in the major flooded substations are in the process of being raised above the Harvey flood event water levels when practical.  For example, </w:t>
      </w:r>
      <w:r w:rsidRPr="00CC69A4">
        <w:rPr>
          <w:szCs w:val="24"/>
        </w:rPr>
        <w:t xml:space="preserve">during the restoration of the </w:t>
      </w:r>
      <w:r>
        <w:rPr>
          <w:szCs w:val="24"/>
        </w:rPr>
        <w:t xml:space="preserve">flooded control houses which required complete replacement of the control house, the foundations were raised at the time of replacement.  This also required replacing all the control wiring from the control house to the controls in the yard.  The yard equipment is also in the process of being raised, but in some instances this was limited due to the clearance to the substation </w:t>
      </w:r>
      <w:r w:rsidR="002907C8">
        <w:rPr>
          <w:szCs w:val="24"/>
        </w:rPr>
        <w:t>bus</w:t>
      </w:r>
      <w:r>
        <w:rPr>
          <w:szCs w:val="24"/>
        </w:rPr>
        <w:t xml:space="preserve">.  In these instances, the equipment could not be raised above the Harvey flood level without rebuilding the substation </w:t>
      </w:r>
      <w:r w:rsidR="002907C8">
        <w:rPr>
          <w:szCs w:val="24"/>
        </w:rPr>
        <w:t>bus framing</w:t>
      </w:r>
      <w:r>
        <w:rPr>
          <w:szCs w:val="24"/>
        </w:rPr>
        <w:t>, which is considered to be impractical.  For Entergy, five</w:t>
      </w:r>
      <w:r w:rsidRPr="00CC69A4">
        <w:rPr>
          <w:szCs w:val="24"/>
        </w:rPr>
        <w:t xml:space="preserve"> control houses are in the process of being raised above Harvey flood levels.  For the substations noted as having minor</w:t>
      </w:r>
      <w:r>
        <w:t xml:space="preserve"> flooding, flood mitigation plans are being developed</w:t>
      </w:r>
      <w:r>
        <w:rPr>
          <w:szCs w:val="24"/>
        </w:rPr>
        <w:t xml:space="preserve"> and will be implemented as appropriate to mitigate damaging the water sensitive equipment.  Items being considered include:  Installation of levees, raising equipment, deployment of tiger dams and the use of sandbags at the time of the next event</w:t>
      </w:r>
      <w:r>
        <w:t>.</w:t>
      </w:r>
    </w:p>
    <w:p w14:paraId="3A9AC017" w14:textId="77777777" w:rsidR="00C71016" w:rsidRDefault="00C71016" w:rsidP="0024392D">
      <w:pPr>
        <w:ind w:left="720" w:firstLine="0"/>
        <w:rPr>
          <w:b/>
          <w:u w:val="single"/>
        </w:rPr>
      </w:pPr>
    </w:p>
    <w:p w14:paraId="15AB2C1A" w14:textId="77777777" w:rsidR="0024392D" w:rsidRPr="00C348F2" w:rsidRDefault="000A5821" w:rsidP="0024392D">
      <w:pPr>
        <w:ind w:left="720" w:firstLine="0"/>
        <w:rPr>
          <w:b/>
        </w:rPr>
      </w:pPr>
      <w:r w:rsidRPr="0024392D">
        <w:rPr>
          <w:b/>
          <w:u w:val="single"/>
        </w:rPr>
        <w:t>TNMP Response</w:t>
      </w:r>
      <w:r w:rsidR="00C348F2">
        <w:rPr>
          <w:b/>
        </w:rPr>
        <w:t>:</w:t>
      </w:r>
    </w:p>
    <w:p w14:paraId="62C7B0F1" w14:textId="77777777" w:rsidR="000A5821" w:rsidRDefault="000A5821" w:rsidP="0090142A">
      <w:pPr>
        <w:ind w:left="1440" w:firstLine="0"/>
      </w:pPr>
      <w:r>
        <w:t>TNMP will evaluate controls that can be instituted in short order to help alleviate or prevent future flooding events for the stations that we now know are prone to flooding plus key facilities (ex., construction centers in Texas City/Brazos areas) and will have access to them hopefully in sufficient time before the storm hits.</w:t>
      </w:r>
      <w:r w:rsidR="0097365A" w:rsidRPr="0097365A">
        <w:rPr>
          <w:color w:val="FF0000"/>
        </w:rPr>
        <w:t xml:space="preserve"> </w:t>
      </w:r>
      <w:r w:rsidR="0097365A" w:rsidRPr="0097365A">
        <w:t>What is meant by the phrase “will have access to them hopefully in sufficient time before the storm hits” is to demonstrate that each storm’s circumstance is different as will be proactive preparations.  These preparations will be determined by mainly the storm’s forecast of:  intensity, nature of rainfall/wind damage, storm location, timing, etc., and that forecast will influence what and how far in advance TNMP will procure additional materials, mitigating equipment or other necessary preparations.  TNMP typically doesn’t stock things such as concrete barriers, sandbags or large scale pumps and would have to procure them if available.</w:t>
      </w:r>
      <w:r>
        <w:t xml:space="preserve">  Items that were not deployed but could be deployed for future events include:</w:t>
      </w:r>
    </w:p>
    <w:p w14:paraId="21DC030A" w14:textId="77777777" w:rsidR="000A5821" w:rsidRDefault="000A5821" w:rsidP="0024392D">
      <w:pPr>
        <w:pStyle w:val="ListParagraph"/>
        <w:numPr>
          <w:ilvl w:val="1"/>
          <w:numId w:val="14"/>
        </w:numPr>
      </w:pPr>
      <w:r>
        <w:t>Proactive sandbagging of facilities that proved to be vulnerable during Harvey (ex., control houses and Region Office entry paths);</w:t>
      </w:r>
    </w:p>
    <w:p w14:paraId="106D6948" w14:textId="77777777" w:rsidR="000A5821" w:rsidRDefault="000A5821" w:rsidP="0024392D">
      <w:pPr>
        <w:pStyle w:val="ListParagraph"/>
        <w:numPr>
          <w:ilvl w:val="1"/>
          <w:numId w:val="14"/>
        </w:numPr>
      </w:pPr>
      <w:r>
        <w:t>Obtaining portable pumping facilities to be installed at those same facilities;</w:t>
      </w:r>
    </w:p>
    <w:p w14:paraId="506CB00B" w14:textId="77777777" w:rsidR="000A5821" w:rsidRDefault="000A5821" w:rsidP="0024392D">
      <w:pPr>
        <w:pStyle w:val="ListParagraph"/>
        <w:numPr>
          <w:ilvl w:val="1"/>
          <w:numId w:val="14"/>
        </w:numPr>
      </w:pPr>
      <w:r>
        <w:t>Diversion concrete barriers to be installed around substations if necessary;</w:t>
      </w:r>
    </w:p>
    <w:p w14:paraId="74AA7B5F" w14:textId="77777777" w:rsidR="000A5821" w:rsidRDefault="000A5821" w:rsidP="00795BCC">
      <w:pPr>
        <w:pStyle w:val="ListParagraph"/>
        <w:numPr>
          <w:ilvl w:val="1"/>
          <w:numId w:val="14"/>
        </w:numPr>
      </w:pPr>
      <w:r>
        <w:t>Raising of equipment and document storage facilities that are at ground level where feasible.</w:t>
      </w:r>
    </w:p>
    <w:p w14:paraId="4B4BE27F" w14:textId="77777777" w:rsidR="00C713E4" w:rsidRDefault="00C713E4" w:rsidP="00C713E4">
      <w:pPr>
        <w:ind w:left="720" w:firstLine="0"/>
        <w:rPr>
          <w:b/>
          <w:szCs w:val="24"/>
          <w:u w:val="single"/>
        </w:rPr>
      </w:pPr>
    </w:p>
    <w:p w14:paraId="393D0D0F" w14:textId="5C8622FC" w:rsidR="0090142A" w:rsidRPr="0090142A" w:rsidRDefault="0090142A" w:rsidP="00C713E4">
      <w:pPr>
        <w:ind w:left="720" w:firstLine="0"/>
        <w:rPr>
          <w:b/>
          <w:szCs w:val="24"/>
        </w:rPr>
      </w:pPr>
      <w:r w:rsidRPr="0090142A">
        <w:rPr>
          <w:b/>
          <w:szCs w:val="24"/>
          <w:u w:val="single"/>
        </w:rPr>
        <w:t>AEP Texas Response</w:t>
      </w:r>
      <w:r w:rsidRPr="0090142A">
        <w:rPr>
          <w:b/>
          <w:szCs w:val="24"/>
        </w:rPr>
        <w:t>:</w:t>
      </w:r>
    </w:p>
    <w:p w14:paraId="762ADA01" w14:textId="77777777" w:rsidR="0090142A" w:rsidRDefault="0090142A" w:rsidP="0090142A">
      <w:pPr>
        <w:ind w:left="1440" w:firstLine="0"/>
        <w:rPr>
          <w:szCs w:val="24"/>
        </w:rPr>
      </w:pPr>
      <w:r w:rsidRPr="0090142A">
        <w:rPr>
          <w:szCs w:val="24"/>
        </w:rPr>
        <w:t>While AEP Texas did not experience significant flooding of facilities resulting from Hurricane Harvey, the company is monitoring the activities of those companies that did experience significant damage and is applying those lessons learned into our continuous improvement efforts</w:t>
      </w:r>
      <w:r w:rsidRPr="00783D2F">
        <w:rPr>
          <w:szCs w:val="24"/>
        </w:rPr>
        <w:t>.</w:t>
      </w:r>
      <w:r w:rsidR="00783D2F" w:rsidRPr="00783D2F">
        <w:rPr>
          <w:szCs w:val="24"/>
        </w:rPr>
        <w:t xml:space="preserve">  For example, AEP Texas replacement control buildings have been built at a higher elevation to protect from storm surge damage and the protective relays in the distribution breakers are being installed in the new buildings to mitigate possible exposure to future storm surge.</w:t>
      </w:r>
    </w:p>
    <w:p w14:paraId="64FA453B" w14:textId="77777777" w:rsidR="00DE67AF" w:rsidRDefault="00DE67AF" w:rsidP="0090142A">
      <w:pPr>
        <w:ind w:left="1440" w:firstLine="0"/>
        <w:rPr>
          <w:szCs w:val="24"/>
        </w:rPr>
      </w:pPr>
    </w:p>
    <w:p w14:paraId="703EE5C9" w14:textId="77777777" w:rsidR="000F1770" w:rsidRPr="000F1770" w:rsidRDefault="000F1770" w:rsidP="000F1770">
      <w:pPr>
        <w:ind w:left="1440"/>
        <w:rPr>
          <w:b/>
          <w:u w:val="single"/>
        </w:rPr>
      </w:pPr>
      <w:r w:rsidRPr="000F1770">
        <w:rPr>
          <w:b/>
          <w:u w:val="single"/>
        </w:rPr>
        <w:t>CNP Response</w:t>
      </w:r>
      <w:r>
        <w:rPr>
          <w:b/>
          <w:u w:val="single"/>
        </w:rPr>
        <w:t>:</w:t>
      </w:r>
    </w:p>
    <w:p w14:paraId="38024BCD" w14:textId="77777777" w:rsidR="000F1770" w:rsidRPr="000F1770" w:rsidRDefault="000F1770" w:rsidP="000F1770">
      <w:pPr>
        <w:ind w:left="1440" w:firstLine="0"/>
      </w:pPr>
      <w:r w:rsidRPr="000F1770">
        <w:t>The transmission towers that made up the San Jacinto River crossings were damaged due to floating debris and bank erosion.  The new permanent crossings will be constructed using steel poles with deep drilled shafts, and set farther back from the river bank to minimize the impact of floating debris.  CNP has also initiated a study to further understand the options available for protection of transmission structures, in or near flowing water, from floating debris, bank erosion, etc.  Learnings will be evaluated for application throughout the CNP system.</w:t>
      </w:r>
    </w:p>
    <w:p w14:paraId="4B22D402" w14:textId="77777777" w:rsidR="000F1770" w:rsidRPr="000F1770" w:rsidRDefault="000F1770" w:rsidP="000F1770">
      <w:pPr>
        <w:ind w:left="1440" w:firstLine="0"/>
      </w:pPr>
      <w:r w:rsidRPr="000F1770">
        <w:t>One substation is being completely rebuilt to an elevation above the Harvey flood level (targeted completion is Q3 2018).  Another substation is having the control cubicle and other flood susceptible equipment elevated above the Harvey flood level (targeted completion is Q4 2018).  In both cases, the Harvey flood level was above the 500-year flood plain.  The other substations impacted by Harvey are being evaluated for implementation of flood mitigation measures.  This evaluation is targeted for completion in Q3 2018, with mitigation measures targeted for implementation in subsequent years.</w:t>
      </w:r>
    </w:p>
    <w:p w14:paraId="122C3715" w14:textId="77777777" w:rsidR="000F1770" w:rsidRPr="000F1770" w:rsidRDefault="000F1770" w:rsidP="000F1770">
      <w:pPr>
        <w:spacing w:after="200" w:line="276" w:lineRule="auto"/>
        <w:ind w:left="1440" w:firstLine="0"/>
      </w:pPr>
      <w:r w:rsidRPr="000F1770">
        <w:t>CNP has implemented a requirement that all dedicated underground vaults be constructed one foot above the 500-year flood plain.</w:t>
      </w:r>
    </w:p>
    <w:p w14:paraId="4549D8C0" w14:textId="77777777" w:rsidR="000F1770" w:rsidRDefault="000F1770" w:rsidP="000F1770">
      <w:pPr>
        <w:ind w:left="1440" w:firstLine="0"/>
      </w:pPr>
      <w:r w:rsidRPr="000F1770">
        <w:t>Alternatives to re-establishing the impacted distribution river crossings are being evaluated.  If these crossing must be maintained, or future river crossings are required, they will be built to a standard like a transmission crossing (i.e. steel/concrete poles, additional set back from river bank, etc.).</w:t>
      </w:r>
    </w:p>
    <w:p w14:paraId="3D0D1976" w14:textId="77777777" w:rsidR="00C713E4" w:rsidRDefault="00C713E4" w:rsidP="00C713E4">
      <w:pPr>
        <w:ind w:left="720" w:firstLine="0"/>
        <w:rPr>
          <w:b/>
          <w:u w:val="single"/>
        </w:rPr>
      </w:pPr>
    </w:p>
    <w:p w14:paraId="3A96AA4B" w14:textId="77777777" w:rsidR="00C713E4" w:rsidRPr="00CB0394" w:rsidRDefault="00C713E4" w:rsidP="00C713E4">
      <w:pPr>
        <w:ind w:left="720" w:firstLine="0"/>
        <w:rPr>
          <w:b/>
          <w:u w:val="single"/>
        </w:rPr>
      </w:pPr>
      <w:r w:rsidRPr="00CB0394">
        <w:rPr>
          <w:b/>
          <w:u w:val="single"/>
        </w:rPr>
        <w:t>LCRA TSC Response:</w:t>
      </w:r>
    </w:p>
    <w:p w14:paraId="410FE4B3" w14:textId="77777777" w:rsidR="00C713E4" w:rsidRDefault="00C713E4" w:rsidP="00C713E4">
      <w:pPr>
        <w:ind w:left="1440" w:firstLine="0"/>
      </w:pPr>
      <w:r>
        <w:t xml:space="preserve">LCRA TSC experienced significant flooding at its substations twice in the past few years. Neither incident was related to Hurricane Harvey.  Flood waters experienced during both events exceeded the 100 year flood elevation.  Prior to the Harvey event LCRA TSC established new substation standards for substations in or near a 100 year flood plain.  </w:t>
      </w:r>
      <w:r w:rsidRPr="001E396B">
        <w:t>Our current standard is 2 feet above the 1 percent FEMA designated flood levels.</w:t>
      </w:r>
    </w:p>
    <w:p w14:paraId="19C57E9F" w14:textId="77777777" w:rsidR="00C713E4" w:rsidRDefault="00C713E4" w:rsidP="00C713E4">
      <w:pPr>
        <w:ind w:left="1440" w:firstLine="0"/>
      </w:pPr>
      <w:r>
        <w:t>LCRA TSC’s engineers and technicians review and inspect transmis</w:t>
      </w:r>
      <w:r w:rsidR="00A61C49">
        <w:t>sion lines annually and conduct</w:t>
      </w:r>
      <w:r>
        <w:t xml:space="preserve"> storm hardening/mitigation evalua</w:t>
      </w:r>
      <w:r w:rsidR="00A61C49">
        <w:t xml:space="preserve">tions. </w:t>
      </w:r>
      <w:r>
        <w:t xml:space="preserve"> New capital improvement projects may be added to LCRA TSC’s capital plan as a result of t</w:t>
      </w:r>
      <w:r w:rsidR="00DE67AF">
        <w:t>he storm hardening evaluations.</w:t>
      </w:r>
      <w:r>
        <w:t xml:space="preserve">  Hurricane Harvey did not present significant issues in LCRA TSC’s transmission system and did not require significant changes to cur</w:t>
      </w:r>
      <w:r w:rsidR="00DE67AF">
        <w:t>rent storm hardening practices.</w:t>
      </w:r>
    </w:p>
    <w:p w14:paraId="48975A33" w14:textId="77777777" w:rsidR="00C713E4" w:rsidRDefault="00C713E4" w:rsidP="00C713E4">
      <w:pPr>
        <w:ind w:left="1440" w:firstLine="0"/>
      </w:pPr>
      <w:r>
        <w:t>Moving forward LCRA TSC will be making recommendations in its capital plan for hardening/mitigation of substation co</w:t>
      </w:r>
      <w:r w:rsidR="00DE67AF">
        <w:t>ntrol houses due to high winds.</w:t>
      </w:r>
    </w:p>
    <w:p w14:paraId="716C3875" w14:textId="77777777" w:rsidR="00C713E4" w:rsidRDefault="00C713E4" w:rsidP="00C713E4">
      <w:pPr>
        <w:ind w:left="1440" w:firstLine="0"/>
      </w:pPr>
      <w:r w:rsidRPr="001E396B">
        <w:t xml:space="preserve">Heinz substation is a new station that will </w:t>
      </w:r>
      <w:r w:rsidR="00A61C49">
        <w:t>be constructed in close proximity to</w:t>
      </w:r>
      <w:r w:rsidRPr="001E396B">
        <w:t xml:space="preserve"> the coast.</w:t>
      </w:r>
      <w:r w:rsidR="00DE67AF">
        <w:t xml:space="preserve"> </w:t>
      </w:r>
      <w:r w:rsidRPr="001E396B">
        <w:t xml:space="preserve"> Heinz substation equipment will be lifted on piers to mitigate flooding due to storm surge and designed to withstand the wind loads in the Corpus Christi Area.</w:t>
      </w:r>
    </w:p>
    <w:p w14:paraId="2AA17D08" w14:textId="77777777" w:rsidR="00980B1B" w:rsidRDefault="00980B1B" w:rsidP="002C16C3">
      <w:pPr>
        <w:ind w:firstLine="720"/>
        <w:rPr>
          <w:b/>
          <w:u w:val="single"/>
        </w:rPr>
      </w:pPr>
    </w:p>
    <w:p w14:paraId="5FBEC9DA" w14:textId="77777777" w:rsidR="002C16C3" w:rsidRDefault="002C16C3" w:rsidP="002C16C3">
      <w:pPr>
        <w:ind w:firstLine="720"/>
      </w:pPr>
      <w:r>
        <w:rPr>
          <w:b/>
          <w:u w:val="single"/>
        </w:rPr>
        <w:t>Sharyland R</w:t>
      </w:r>
      <w:r w:rsidRPr="0090142A">
        <w:rPr>
          <w:b/>
          <w:u w:val="single"/>
        </w:rPr>
        <w:t>esponse</w:t>
      </w:r>
      <w:r w:rsidR="00DE67AF">
        <w:t>:</w:t>
      </w:r>
    </w:p>
    <w:p w14:paraId="35529905" w14:textId="109EB82E" w:rsidR="002C16C3" w:rsidRDefault="002C16C3" w:rsidP="002C16C3">
      <w:pPr>
        <w:tabs>
          <w:tab w:val="left" w:pos="2250"/>
        </w:tabs>
        <w:ind w:left="1440" w:firstLine="0"/>
      </w:pPr>
      <w:r w:rsidRPr="002C16C3">
        <w:t>Sharyland Utilities</w:t>
      </w:r>
      <w:r w:rsidR="00DE626C" w:rsidRPr="00DE626C">
        <w:t xml:space="preserve"> </w:t>
      </w:r>
      <w:r w:rsidR="00DE626C">
        <w:t>did not incur flood damage</w:t>
      </w:r>
      <w:r w:rsidRPr="002C16C3">
        <w:t xml:space="preserve"> as a result of Hurricane Harvey.  </w:t>
      </w:r>
      <w:r w:rsidR="00DE626C">
        <w:t xml:space="preserve">Sharyland’s </w:t>
      </w:r>
      <w:r w:rsidRPr="002C16C3">
        <w:t>engineering and construction</w:t>
      </w:r>
      <w:r w:rsidR="00DE626C">
        <w:t xml:space="preserve"> process</w:t>
      </w:r>
      <w:r w:rsidRPr="002C16C3">
        <w:t xml:space="preserve"> takes into account the area where the facilities are located and designs for that area</w:t>
      </w:r>
      <w:r w:rsidR="00DE626C">
        <w:t>, applying applicable standards at the time of design</w:t>
      </w:r>
      <w:r w:rsidR="00DE626C" w:rsidRPr="002C16C3">
        <w:t>.</w:t>
      </w:r>
      <w:r w:rsidR="00DE626C">
        <w:t xml:space="preserve">  </w:t>
      </w:r>
      <w:r w:rsidR="006A3455" w:rsidRPr="00CC69A4">
        <w:t xml:space="preserve"> Based on a review of elevations being used by other utilities, for future design in a hurricane evacuation zone, Sharyland will design control house</w:t>
      </w:r>
      <w:r w:rsidR="00066625" w:rsidRPr="00CC69A4">
        <w:t xml:space="preserve"> foundations to be </w:t>
      </w:r>
      <w:r w:rsidR="006A3455" w:rsidRPr="00CC69A4">
        <w:t xml:space="preserve">a minimum of 1 foot above the </w:t>
      </w:r>
      <w:r w:rsidR="006A3455">
        <w:t xml:space="preserve">FEMA </w:t>
      </w:r>
      <w:r w:rsidR="006A3455" w:rsidRPr="00D338AD">
        <w:t>flood water level elevation</w:t>
      </w:r>
      <w:r w:rsidR="006A3455">
        <w:t xml:space="preserve">, with the equipment control cabinets being 2 feet above the FEMA flood water level elevation.  </w:t>
      </w:r>
    </w:p>
    <w:p w14:paraId="3CC53314" w14:textId="77777777" w:rsidR="002C16C3" w:rsidRPr="002C16C3" w:rsidRDefault="002C16C3" w:rsidP="002C16C3">
      <w:pPr>
        <w:tabs>
          <w:tab w:val="left" w:pos="2250"/>
        </w:tabs>
        <w:ind w:left="1440" w:firstLine="0"/>
      </w:pPr>
    </w:p>
    <w:p w14:paraId="74454D12" w14:textId="77777777" w:rsidR="00956367" w:rsidRDefault="00956367" w:rsidP="00DE626C">
      <w:pPr>
        <w:pStyle w:val="Heading2"/>
        <w:ind w:left="720"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Explain the elevation standard used for facility construction before and after Hurricane Harvey and explain any changes.</w:t>
      </w:r>
    </w:p>
    <w:p w14:paraId="21AA9E55" w14:textId="77777777" w:rsidR="00101B4C" w:rsidRPr="00DE67AF" w:rsidRDefault="00101B4C" w:rsidP="00CC35E7">
      <w:pPr>
        <w:ind w:left="720" w:firstLine="0"/>
      </w:pPr>
    </w:p>
    <w:p w14:paraId="2988E0D9" w14:textId="77777777" w:rsidR="00CC35E7" w:rsidRPr="00C348F2" w:rsidRDefault="00CC35E7" w:rsidP="0024392D">
      <w:pPr>
        <w:ind w:firstLine="720"/>
      </w:pPr>
      <w:r w:rsidRPr="00C348F2">
        <w:rPr>
          <w:b/>
          <w:u w:val="single"/>
        </w:rPr>
        <w:t>ETI Response</w:t>
      </w:r>
      <w:r w:rsidRPr="00C348F2">
        <w:t>:</w:t>
      </w:r>
    </w:p>
    <w:p w14:paraId="0326A0A1" w14:textId="77777777" w:rsidR="002813D1" w:rsidRPr="00C348F2" w:rsidRDefault="00CC35E7" w:rsidP="000A5821">
      <w:pPr>
        <w:ind w:left="720" w:firstLine="360"/>
        <w:rPr>
          <w:b/>
        </w:rPr>
      </w:pPr>
      <w:r w:rsidRPr="00C348F2">
        <w:rPr>
          <w:u w:val="single"/>
        </w:rPr>
        <w:t>Pre Hurricane Harvey</w:t>
      </w:r>
      <w:r w:rsidRPr="00C348F2">
        <w:rPr>
          <w:b/>
        </w:rPr>
        <w:t>:</w:t>
      </w:r>
    </w:p>
    <w:p w14:paraId="7BECF203" w14:textId="77777777" w:rsidR="00CC35E7" w:rsidRPr="00C348F2" w:rsidRDefault="006F4C89" w:rsidP="000A5821">
      <w:pPr>
        <w:ind w:left="1080" w:firstLine="0"/>
      </w:pPr>
      <w:r w:rsidRPr="00C348F2">
        <w:t>If possible, the substation site should not be located in the floodplains that are susceptible to heavy flooding due to rains and poor drainage.</w:t>
      </w:r>
      <w:r w:rsidR="00CC35E7" w:rsidRPr="00C348F2">
        <w:t xml:space="preserve">  </w:t>
      </w:r>
      <w:r w:rsidRPr="00C348F2">
        <w:t>Whenever feasible, the substation site should be above the high water elevation related to base flood.</w:t>
      </w:r>
      <w:r w:rsidR="00CC35E7" w:rsidRPr="00C348F2">
        <w:t xml:space="preserve">  </w:t>
      </w:r>
      <w:r w:rsidRPr="00C348F2">
        <w:t>Flood plain maps are available from local jurisdiction, FEMA, or USGS. Maps of FEMA and USGS shall be reviewed to determine if the planned substation site is in the floodplains.</w:t>
      </w:r>
      <w:r w:rsidR="00CC35E7" w:rsidRPr="00C348F2">
        <w:t xml:space="preserve">  </w:t>
      </w:r>
      <w:r w:rsidRPr="00C348F2">
        <w:t>Typically, the foundation top elevations should be at or above the known "high-water" elevation, related to 100 year flood recurrence.</w:t>
      </w:r>
    </w:p>
    <w:p w14:paraId="4C0D5FC4" w14:textId="77777777" w:rsidR="002813D1" w:rsidRPr="00C348F2" w:rsidRDefault="000A5821" w:rsidP="00CC35E7">
      <w:pPr>
        <w:tabs>
          <w:tab w:val="num" w:pos="720"/>
          <w:tab w:val="num" w:pos="1440"/>
        </w:tabs>
        <w:ind w:left="720" w:firstLine="0"/>
        <w:rPr>
          <w:b/>
        </w:rPr>
      </w:pPr>
      <w:r w:rsidRPr="00C348F2">
        <w:rPr>
          <w:b/>
        </w:rPr>
        <w:tab/>
      </w:r>
      <w:r w:rsidR="00CC35E7" w:rsidRPr="00C348F2">
        <w:rPr>
          <w:b/>
          <w:u w:val="single"/>
        </w:rPr>
        <w:t>Post Hurricane Harvey</w:t>
      </w:r>
      <w:r w:rsidR="00CC35E7" w:rsidRPr="00C348F2">
        <w:rPr>
          <w:b/>
        </w:rPr>
        <w:t>:</w:t>
      </w:r>
    </w:p>
    <w:p w14:paraId="381FCABB" w14:textId="77777777" w:rsidR="00CC35E7" w:rsidRPr="00C348F2" w:rsidRDefault="000A5821" w:rsidP="00CC35E7">
      <w:pPr>
        <w:tabs>
          <w:tab w:val="num" w:pos="720"/>
          <w:tab w:val="num" w:pos="1440"/>
        </w:tabs>
        <w:ind w:left="720" w:firstLine="0"/>
      </w:pPr>
      <w:r w:rsidRPr="00C348F2">
        <w:tab/>
      </w:r>
      <w:r w:rsidR="00CC35E7" w:rsidRPr="00C348F2">
        <w:rPr>
          <w:u w:val="single"/>
        </w:rPr>
        <w:t>Flood Risk Mitigation Clarifications Points</w:t>
      </w:r>
      <w:r w:rsidR="00CC35E7" w:rsidRPr="00C348F2">
        <w:t>:</w:t>
      </w:r>
    </w:p>
    <w:p w14:paraId="36B12A52" w14:textId="77777777" w:rsidR="00CC35E7" w:rsidRPr="00C348F2" w:rsidRDefault="000A5821" w:rsidP="00CC35E7">
      <w:pPr>
        <w:tabs>
          <w:tab w:val="num" w:pos="720"/>
          <w:tab w:val="num" w:pos="1440"/>
        </w:tabs>
        <w:ind w:left="720" w:firstLine="0"/>
      </w:pPr>
      <w:r w:rsidRPr="00C348F2">
        <w:tab/>
      </w:r>
      <w:r w:rsidR="00CC35E7" w:rsidRPr="00C348F2">
        <w:t xml:space="preserve">1) </w:t>
      </w:r>
      <w:r w:rsidR="006F4C89" w:rsidRPr="00C348F2">
        <w:t>Terminology/Approach</w:t>
      </w:r>
      <w:r w:rsidR="00CC35E7" w:rsidRPr="00C348F2">
        <w:t>.</w:t>
      </w:r>
    </w:p>
    <w:p w14:paraId="45B16315" w14:textId="77777777" w:rsidR="00CC35E7" w:rsidRPr="00C348F2" w:rsidRDefault="00CC35E7" w:rsidP="000A5821">
      <w:pPr>
        <w:tabs>
          <w:tab w:val="num" w:pos="720"/>
          <w:tab w:val="num" w:pos="1440"/>
        </w:tabs>
        <w:ind w:left="1440" w:firstLine="0"/>
      </w:pPr>
      <w:r w:rsidRPr="00C348F2">
        <w:tab/>
        <w:t xml:space="preserve">a. </w:t>
      </w:r>
      <w:r w:rsidR="006F4C89" w:rsidRPr="00C348F2">
        <w:t>Flood risk should be evaluated for all new substations and for major additions/modifications to existing substations.</w:t>
      </w:r>
    </w:p>
    <w:p w14:paraId="4132E78F" w14:textId="77777777" w:rsidR="002813D1" w:rsidRPr="00C348F2" w:rsidRDefault="00CC35E7" w:rsidP="000A5821">
      <w:pPr>
        <w:tabs>
          <w:tab w:val="num" w:pos="720"/>
          <w:tab w:val="num" w:pos="1440"/>
        </w:tabs>
        <w:ind w:left="1440" w:firstLine="0"/>
      </w:pPr>
      <w:r w:rsidRPr="00C348F2">
        <w:tab/>
        <w:t xml:space="preserve">b. </w:t>
      </w:r>
      <w:r w:rsidR="006F4C89" w:rsidRPr="00C348F2">
        <w:t>The control house elevation shall be coordinated with the elevation of the lowest equipment control cabinet in new substations.</w:t>
      </w:r>
    </w:p>
    <w:p w14:paraId="58EA2500" w14:textId="77777777" w:rsidR="002813D1" w:rsidRPr="00C348F2" w:rsidRDefault="000A5821" w:rsidP="00CC35E7">
      <w:pPr>
        <w:tabs>
          <w:tab w:val="num" w:pos="720"/>
          <w:tab w:val="num" w:pos="1440"/>
        </w:tabs>
        <w:ind w:left="720" w:firstLine="0"/>
      </w:pPr>
      <w:r w:rsidRPr="00C348F2">
        <w:tab/>
      </w:r>
      <w:r w:rsidR="00CC35E7" w:rsidRPr="00C348F2">
        <w:t xml:space="preserve">2) </w:t>
      </w:r>
      <w:r w:rsidR="006F4C89" w:rsidRPr="00C348F2">
        <w:t>Evaluation Process</w:t>
      </w:r>
      <w:r w:rsidR="00CC35E7" w:rsidRPr="00C348F2">
        <w:t>.</w:t>
      </w:r>
    </w:p>
    <w:p w14:paraId="299A58DA" w14:textId="77777777" w:rsidR="002813D1" w:rsidRPr="00C348F2" w:rsidRDefault="002813D1" w:rsidP="000A5821">
      <w:pPr>
        <w:tabs>
          <w:tab w:val="num" w:pos="720"/>
          <w:tab w:val="num" w:pos="1440"/>
        </w:tabs>
        <w:ind w:left="1440" w:firstLine="0"/>
      </w:pPr>
      <w:r w:rsidRPr="00C348F2">
        <w:tab/>
      </w:r>
      <w:r w:rsidR="00CC35E7" w:rsidRPr="00C348F2">
        <w:t xml:space="preserve">a. </w:t>
      </w:r>
      <w:r w:rsidR="006F4C89" w:rsidRPr="00C348F2">
        <w:t>Evaluate local development and potential impacts to flooding since the Flood Insurance Study (FIS) was performed.</w:t>
      </w:r>
    </w:p>
    <w:p w14:paraId="214F7398" w14:textId="77777777" w:rsidR="00773978" w:rsidRPr="00C348F2" w:rsidRDefault="002813D1" w:rsidP="000A5821">
      <w:pPr>
        <w:tabs>
          <w:tab w:val="num" w:pos="720"/>
          <w:tab w:val="num" w:pos="1440"/>
        </w:tabs>
        <w:ind w:left="1440" w:firstLine="0"/>
      </w:pPr>
      <w:r w:rsidRPr="00C348F2">
        <w:tab/>
      </w:r>
      <w:r w:rsidR="00CC35E7" w:rsidRPr="00C348F2">
        <w:t xml:space="preserve">b. </w:t>
      </w:r>
      <w:r w:rsidR="006F4C89" w:rsidRPr="00C348F2">
        <w:t>If the substation site is not within a FEMA Special Flood Hazard Area SFHA, the FIS was performed over 10 years ago, or a Base Flood Elevation (BFE) is not otherwise available, the project team will review known data and decide if a formal Hydrologic and Hydraulic study is needed.</w:t>
      </w:r>
    </w:p>
    <w:p w14:paraId="0012643E" w14:textId="77777777" w:rsidR="00773978" w:rsidRPr="00C348F2" w:rsidRDefault="002813D1" w:rsidP="000A5821">
      <w:pPr>
        <w:tabs>
          <w:tab w:val="num" w:pos="720"/>
          <w:tab w:val="num" w:pos="1440"/>
        </w:tabs>
        <w:ind w:left="1440" w:firstLine="0"/>
      </w:pPr>
      <w:r w:rsidRPr="00C348F2">
        <w:t>3) Customer Coordination:  If a substation directly serves or is being built to serve a specific customer, the site and equipment elevations shall be coordinated with that customer’s site and equipment elevations.  A site elevation higher than the BFE, up to the 500 year flood elevation, should be considered for critical customers.</w:t>
      </w:r>
    </w:p>
    <w:p w14:paraId="5C9C3FB7" w14:textId="77777777" w:rsidR="002813D1" w:rsidRPr="00C348F2" w:rsidRDefault="002813D1" w:rsidP="000A5821">
      <w:pPr>
        <w:tabs>
          <w:tab w:val="num" w:pos="720"/>
          <w:tab w:val="num" w:pos="1440"/>
        </w:tabs>
        <w:ind w:left="1440" w:firstLine="0"/>
      </w:pPr>
      <w:r w:rsidRPr="00C348F2">
        <w:t xml:space="preserve">4) Decision Documentation:  Evaluation of potential flooding shall be documented in the </w:t>
      </w:r>
      <w:r w:rsidR="00F91673">
        <w:t>Project Execution Plan (</w:t>
      </w:r>
      <w:r w:rsidRPr="00C348F2">
        <w:t>PEP</w:t>
      </w:r>
      <w:r w:rsidR="00F91673">
        <w:t>)</w:t>
      </w:r>
      <w:r w:rsidRPr="00C348F2">
        <w:t xml:space="preserve">.  Decisions made with respect to the site and equipment elevations shall be documented in the </w:t>
      </w:r>
      <w:r w:rsidR="00F91673">
        <w:t>PEP</w:t>
      </w:r>
      <w:r w:rsidRPr="00C348F2">
        <w:t xml:space="preserve"> and elevations documented on applicable drawings.</w:t>
      </w:r>
    </w:p>
    <w:p w14:paraId="71453B3A" w14:textId="77777777" w:rsidR="00773978" w:rsidRPr="00C348F2" w:rsidRDefault="002813D1" w:rsidP="000A5821">
      <w:pPr>
        <w:tabs>
          <w:tab w:val="num" w:pos="720"/>
          <w:tab w:val="num" w:pos="1440"/>
        </w:tabs>
        <w:ind w:left="1440" w:firstLine="0"/>
      </w:pPr>
      <w:r w:rsidRPr="00C348F2">
        <w:rPr>
          <w:u w:val="single"/>
        </w:rPr>
        <w:t>Major changes to Entergy’s substation elevation standard</w:t>
      </w:r>
      <w:r w:rsidR="00F91673">
        <w:rPr>
          <w:u w:val="single"/>
        </w:rPr>
        <w:t xml:space="preserve"> include</w:t>
      </w:r>
      <w:r w:rsidRPr="00C348F2">
        <w:rPr>
          <w:u w:val="single"/>
        </w:rPr>
        <w:t>:</w:t>
      </w:r>
      <w:r w:rsidRPr="00C348F2">
        <w:t xml:space="preserve">  </w:t>
      </w:r>
      <w:r w:rsidR="00F91673">
        <w:t xml:space="preserve">1) </w:t>
      </w:r>
      <w:r w:rsidR="006F4C89" w:rsidRPr="00C348F2">
        <w:t>More direction on data to review to select station elevation.</w:t>
      </w:r>
      <w:r w:rsidR="00F91673">
        <w:t xml:space="preserve">  2) </w:t>
      </w:r>
      <w:r w:rsidR="006F4C89" w:rsidRPr="00C348F2">
        <w:t>Requirement to better document the reason for the station elevation chosen.</w:t>
      </w:r>
      <w:r w:rsidRPr="00C348F2">
        <w:t xml:space="preserve">  </w:t>
      </w:r>
      <w:r w:rsidR="00F91673">
        <w:t xml:space="preserve">3) </w:t>
      </w:r>
      <w:r w:rsidR="006F4C89" w:rsidRPr="00C348F2">
        <w:t>Assure coordination with customer’s site and equipment elevations, if applicable.</w:t>
      </w:r>
      <w:r w:rsidRPr="00C348F2">
        <w:t xml:space="preserve">  </w:t>
      </w:r>
      <w:r w:rsidR="00F91673">
        <w:t xml:space="preserve">4) </w:t>
      </w:r>
      <w:r w:rsidR="006F4C89" w:rsidRPr="00C348F2">
        <w:t>Coordination of the control house elevation with that of equipment cabinets in the yard.  This will ensure that the control house does not flood if all other equipment in the yard remains dry.</w:t>
      </w:r>
    </w:p>
    <w:p w14:paraId="6AE4DC8F" w14:textId="77777777" w:rsidR="002C5BB3" w:rsidRDefault="002C5BB3" w:rsidP="0024392D">
      <w:pPr>
        <w:ind w:left="720" w:firstLine="0"/>
        <w:rPr>
          <w:b/>
          <w:u w:val="single"/>
        </w:rPr>
      </w:pPr>
    </w:p>
    <w:p w14:paraId="07FE0F31" w14:textId="77777777" w:rsidR="0024392D" w:rsidRDefault="000A5821" w:rsidP="0024392D">
      <w:pPr>
        <w:ind w:left="720" w:firstLine="0"/>
        <w:rPr>
          <w:b/>
        </w:rPr>
      </w:pPr>
      <w:r w:rsidRPr="0024392D">
        <w:rPr>
          <w:b/>
          <w:u w:val="single"/>
        </w:rPr>
        <w:t>TNMP Response</w:t>
      </w:r>
      <w:r w:rsidRPr="0024392D">
        <w:rPr>
          <w:b/>
        </w:rPr>
        <w:t xml:space="preserve"> – </w:t>
      </w:r>
    </w:p>
    <w:p w14:paraId="38998CAA" w14:textId="77777777" w:rsidR="000A5821" w:rsidRDefault="000A5821" w:rsidP="0024392D">
      <w:pPr>
        <w:ind w:left="1440" w:firstLine="0"/>
      </w:pPr>
      <w:r>
        <w:t>TNMP builds to a 100 Year Flood plus 12” standard for all of its substation facilities on new construction.  New facilities are sited in areas that carry the least flooding exposure as possible as well.  As was shown during Harvey from a substation perspective this standard performed well as all of our new construction did not have flooding damage.  Dickinson Substation is an older vintage TNMP substation and the mitigation measures discussed above will be utilized to evaluate any needed changes.</w:t>
      </w:r>
    </w:p>
    <w:p w14:paraId="75B622A2" w14:textId="77777777" w:rsidR="000A5821" w:rsidRPr="007A66C4" w:rsidRDefault="000A5821" w:rsidP="0024392D">
      <w:pPr>
        <w:pStyle w:val="ListParagraph"/>
        <w:numPr>
          <w:ilvl w:val="1"/>
          <w:numId w:val="14"/>
        </w:numPr>
      </w:pPr>
      <w:r>
        <w:t>The Construction Center offices were remodeled as part of the reconstruction and TNMP better understands that facility’s risk profile and can put in short-term measures for future events if needed.</w:t>
      </w:r>
    </w:p>
    <w:p w14:paraId="675B88A0" w14:textId="77777777" w:rsidR="009D4EA4" w:rsidRDefault="009D4EA4" w:rsidP="0090142A">
      <w:pPr>
        <w:ind w:firstLine="720"/>
        <w:rPr>
          <w:b/>
          <w:szCs w:val="24"/>
          <w:u w:val="single"/>
        </w:rPr>
      </w:pPr>
    </w:p>
    <w:p w14:paraId="3D9551FE" w14:textId="77777777" w:rsidR="0090142A" w:rsidRPr="0090142A" w:rsidRDefault="0090142A" w:rsidP="0090142A">
      <w:pPr>
        <w:ind w:firstLine="720"/>
        <w:rPr>
          <w:szCs w:val="24"/>
          <w:u w:val="single"/>
        </w:rPr>
      </w:pPr>
      <w:r w:rsidRPr="0090142A">
        <w:rPr>
          <w:b/>
          <w:szCs w:val="24"/>
          <w:u w:val="single"/>
        </w:rPr>
        <w:t>AEP Texas Response</w:t>
      </w:r>
      <w:r w:rsidR="00F91673">
        <w:rPr>
          <w:szCs w:val="24"/>
          <w:u w:val="single"/>
        </w:rPr>
        <w:t>:</w:t>
      </w:r>
    </w:p>
    <w:p w14:paraId="24775E62" w14:textId="789A1CC1" w:rsidR="009D4EA4" w:rsidRDefault="0090142A" w:rsidP="0090142A">
      <w:pPr>
        <w:ind w:left="1440" w:firstLine="0"/>
        <w:rPr>
          <w:szCs w:val="24"/>
        </w:rPr>
      </w:pPr>
      <w:r w:rsidRPr="0090142A">
        <w:rPr>
          <w:szCs w:val="24"/>
        </w:rPr>
        <w:t xml:space="preserve">AEP uses AEP Standard SS-160103 Technical Specification for Substation and Switching Station and SS – 7000001 Substation and Switching Station Site Guideline in which the location for substation sites is reviewed against the 100-year flood elevation.  </w:t>
      </w:r>
      <w:r w:rsidR="009D4EA4">
        <w:rPr>
          <w:szCs w:val="24"/>
        </w:rPr>
        <w:t>When practicable</w:t>
      </w:r>
      <w:r w:rsidRPr="0090142A">
        <w:rPr>
          <w:szCs w:val="24"/>
        </w:rPr>
        <w:t>,</w:t>
      </w:r>
      <w:r w:rsidR="009D4EA4">
        <w:rPr>
          <w:szCs w:val="24"/>
        </w:rPr>
        <w:t xml:space="preserve"> the site </w:t>
      </w:r>
      <w:r w:rsidR="00BB4117">
        <w:rPr>
          <w:szCs w:val="24"/>
        </w:rPr>
        <w:t xml:space="preserve">will </w:t>
      </w:r>
      <w:r w:rsidR="009D4EA4">
        <w:rPr>
          <w:szCs w:val="24"/>
        </w:rPr>
        <w:t>be developed such that the final grade will be at or above 100-year flood elevation, although</w:t>
      </w:r>
      <w:r w:rsidRPr="0090142A">
        <w:rPr>
          <w:szCs w:val="24"/>
        </w:rPr>
        <w:t xml:space="preserve"> some of the older stations may not meet this location practice.  Additionally, AEP stations near the Gulf Coast are built to withstand 135 mph winds.</w:t>
      </w:r>
      <w:r w:rsidR="00980B1B">
        <w:rPr>
          <w:szCs w:val="24"/>
        </w:rPr>
        <w:t xml:space="preserve">  </w:t>
      </w:r>
      <w:r w:rsidR="009D4EA4">
        <w:rPr>
          <w:szCs w:val="24"/>
        </w:rPr>
        <w:t>AEP believes that utilizing AEP’s 135</w:t>
      </w:r>
      <w:r w:rsidR="00BB4117">
        <w:rPr>
          <w:szCs w:val="24"/>
        </w:rPr>
        <w:t xml:space="preserve"> </w:t>
      </w:r>
      <w:r w:rsidR="009D4EA4">
        <w:rPr>
          <w:szCs w:val="24"/>
        </w:rPr>
        <w:t>mph guideline is a more conservative approach than ASCE’s 7-10 150 mph criteria for structures less than or equal to 50 feet and is slightly less conservative for equipment structures that are taller than 50 feet.</w:t>
      </w:r>
    </w:p>
    <w:p w14:paraId="126C98AA" w14:textId="2B22D178" w:rsidR="0090142A" w:rsidRDefault="0090142A" w:rsidP="009D4EA4">
      <w:pPr>
        <w:ind w:left="1440" w:firstLine="0"/>
        <w:rPr>
          <w:szCs w:val="24"/>
        </w:rPr>
      </w:pPr>
      <w:r w:rsidRPr="0090142A">
        <w:rPr>
          <w:szCs w:val="24"/>
        </w:rPr>
        <w:t xml:space="preserve">At this time, no changes have been made to the standard employed by AEP Texas as a result of Hurricane Harvey.  </w:t>
      </w:r>
      <w:r w:rsidR="00BB4117">
        <w:rPr>
          <w:szCs w:val="24"/>
        </w:rPr>
        <w:t>Nevertheless, b</w:t>
      </w:r>
      <w:r w:rsidR="00783D2F" w:rsidRPr="00783D2F">
        <w:rPr>
          <w:szCs w:val="24"/>
        </w:rPr>
        <w:t>ecause there was some</w:t>
      </w:r>
      <w:r w:rsidR="00783D2F" w:rsidRPr="0090142A" w:rsidDel="00783D2F">
        <w:rPr>
          <w:szCs w:val="24"/>
        </w:rPr>
        <w:t xml:space="preserve"> </w:t>
      </w:r>
      <w:r w:rsidRPr="0090142A">
        <w:rPr>
          <w:szCs w:val="24"/>
        </w:rPr>
        <w:t xml:space="preserve">storm surge flooding in the coastal areas </w:t>
      </w:r>
      <w:r w:rsidR="00783D2F">
        <w:rPr>
          <w:szCs w:val="24"/>
        </w:rPr>
        <w:t>AEP has</w:t>
      </w:r>
      <w:r w:rsidRPr="0090142A">
        <w:rPr>
          <w:szCs w:val="24"/>
        </w:rPr>
        <w:t xml:space="preserve"> designed the new </w:t>
      </w:r>
      <w:r w:rsidR="00783D2F">
        <w:rPr>
          <w:szCs w:val="24"/>
        </w:rPr>
        <w:t>Drop in Control Module (</w:t>
      </w:r>
      <w:r w:rsidRPr="0090142A">
        <w:rPr>
          <w:szCs w:val="24"/>
        </w:rPr>
        <w:t>DICM</w:t>
      </w:r>
      <w:r w:rsidR="00783D2F">
        <w:rPr>
          <w:szCs w:val="24"/>
        </w:rPr>
        <w:t>)</w:t>
      </w:r>
      <w:r w:rsidRPr="0090142A">
        <w:rPr>
          <w:szCs w:val="24"/>
        </w:rPr>
        <w:t xml:space="preserve"> building floor elevation to accommodate Category 3 or Category 4 Hurricanes</w:t>
      </w:r>
      <w:r w:rsidRPr="00783D2F">
        <w:rPr>
          <w:szCs w:val="24"/>
        </w:rPr>
        <w:t>.</w:t>
      </w:r>
      <w:r w:rsidR="00783D2F" w:rsidRPr="00783D2F">
        <w:rPr>
          <w:szCs w:val="24"/>
        </w:rPr>
        <w:t xml:space="preserve"> The control buildings are built at the factory with the relay panels and associated wiring installed and ready for delivery.  The building is delivered to the station site and “dropped in” place.</w:t>
      </w:r>
      <w:r w:rsidRPr="0090142A">
        <w:rPr>
          <w:szCs w:val="24"/>
        </w:rPr>
        <w:t xml:space="preserve">  These DICM buildings will replace the Control House buildings that were damaged within </w:t>
      </w:r>
      <w:r w:rsidR="00783D2F">
        <w:rPr>
          <w:szCs w:val="24"/>
        </w:rPr>
        <w:t>the affected</w:t>
      </w:r>
      <w:r w:rsidR="00783D2F" w:rsidRPr="0090142A">
        <w:rPr>
          <w:szCs w:val="24"/>
        </w:rPr>
        <w:t xml:space="preserve"> </w:t>
      </w:r>
      <w:r w:rsidRPr="0090142A">
        <w:rPr>
          <w:szCs w:val="24"/>
        </w:rPr>
        <w:t>area.</w:t>
      </w:r>
    </w:p>
    <w:p w14:paraId="6B297B09" w14:textId="77777777" w:rsidR="00CB0394" w:rsidRPr="00CB0394" w:rsidRDefault="00CB0394" w:rsidP="00CB0394">
      <w:pPr>
        <w:ind w:left="1440"/>
        <w:rPr>
          <w:b/>
          <w:u w:val="single"/>
        </w:rPr>
      </w:pPr>
      <w:r w:rsidRPr="00CB0394">
        <w:rPr>
          <w:b/>
          <w:u w:val="single"/>
        </w:rPr>
        <w:t>CNP Response:</w:t>
      </w:r>
    </w:p>
    <w:p w14:paraId="3161FAD6" w14:textId="77777777" w:rsidR="00CB0394" w:rsidRPr="00CB0394" w:rsidRDefault="00CB0394" w:rsidP="00CB0394">
      <w:pPr>
        <w:ind w:left="1440" w:firstLine="0"/>
      </w:pPr>
      <w:r w:rsidRPr="00CB0394">
        <w:t>CNP has not utilized a flood elevation standard for the transmission system, but does attempt to limit the placement of transmission structures in flood prone areas, as well as areas with flowing water.</w:t>
      </w:r>
    </w:p>
    <w:p w14:paraId="16E0B33E" w14:textId="77777777" w:rsidR="00CB0394" w:rsidRPr="00CB0394" w:rsidRDefault="00CB0394" w:rsidP="00C713E4">
      <w:pPr>
        <w:ind w:left="1440" w:firstLine="0"/>
      </w:pPr>
      <w:r w:rsidRPr="00CB0394">
        <w:t>Prior to Harvey (i.e. since Allison), substation design has utilized an elevation standard of at least one foot above the 100-year flood plain, 500-year flood plain or one foot above the expected CAT 5 storm surge, whichever achieves the higher elevation.  CNP utilizes the following references for this analysis.</w:t>
      </w:r>
    </w:p>
    <w:p w14:paraId="454920A6" w14:textId="77777777" w:rsidR="00CB0394" w:rsidRPr="00CB0394" w:rsidRDefault="00CB0394" w:rsidP="00CB0394">
      <w:pPr>
        <w:pStyle w:val="ListParagraph"/>
        <w:numPr>
          <w:ilvl w:val="0"/>
          <w:numId w:val="18"/>
        </w:numPr>
      </w:pPr>
      <w:r w:rsidRPr="00CB0394">
        <w:t>U. S. Department of Homeland Security FEMA flood plain maps.</w:t>
      </w:r>
    </w:p>
    <w:p w14:paraId="217652F4" w14:textId="77777777" w:rsidR="00CB0394" w:rsidRPr="00CB0394" w:rsidRDefault="00CB0394" w:rsidP="00CB0394">
      <w:pPr>
        <w:pStyle w:val="ListParagraph"/>
        <w:numPr>
          <w:ilvl w:val="0"/>
          <w:numId w:val="18"/>
        </w:numPr>
      </w:pPr>
      <w:r w:rsidRPr="00CB0394">
        <w:t>Category 5 NOAA National Storm Surge Hazard maps</w:t>
      </w:r>
    </w:p>
    <w:p w14:paraId="53591B87" w14:textId="77777777" w:rsidR="00CB0394" w:rsidRPr="00CB0394" w:rsidRDefault="00CB0394" w:rsidP="00C713E4">
      <w:pPr>
        <w:spacing w:after="200" w:line="276" w:lineRule="auto"/>
        <w:ind w:left="1440" w:firstLine="0"/>
        <w:rPr>
          <w:color w:val="000000" w:themeColor="text1"/>
        </w:rPr>
      </w:pPr>
      <w:r w:rsidRPr="00CB0394">
        <w:rPr>
          <w:color w:val="000000" w:themeColor="text1"/>
        </w:rPr>
        <w:t>Prior to Harvey, dedicated underground vaults in the TMC were required to be one foot above the 500-year flood plain, and those in the University of Texas Medical Branch in Galveston (UTMB) were required to be 13 feet above sea level.  All other dedicated underground vaults were required to be one foot above the 100-year flood plain.  Post Harvey, all dedicated underground vaults are required to be one foot above the 500-year flood plain while vaults in the coastal storm surge areas will be required to be 15 feet above sea level.</w:t>
      </w:r>
    </w:p>
    <w:p w14:paraId="1C81EF6C" w14:textId="77777777" w:rsidR="00CB0394" w:rsidRPr="00CB0394" w:rsidRDefault="00CB0394" w:rsidP="00C713E4">
      <w:pPr>
        <w:spacing w:after="200" w:line="276" w:lineRule="auto"/>
        <w:ind w:left="1440" w:firstLine="0"/>
        <w:rPr>
          <w:color w:val="000000" w:themeColor="text1"/>
        </w:rPr>
      </w:pPr>
      <w:r w:rsidRPr="00CB0394">
        <w:rPr>
          <w:color w:val="000000" w:themeColor="text1"/>
        </w:rPr>
        <w:t>CNP is also evaluating the availability of other data sources, including the</w:t>
      </w:r>
      <w:r>
        <w:rPr>
          <w:color w:val="000000" w:themeColor="text1"/>
        </w:rPr>
        <w:t xml:space="preserve"> actual flood data from Harvey </w:t>
      </w:r>
      <w:r w:rsidRPr="00CB0394">
        <w:rPr>
          <w:color w:val="000000" w:themeColor="text1"/>
        </w:rPr>
        <w:t>that may be incorporated into our design processes.</w:t>
      </w:r>
    </w:p>
    <w:p w14:paraId="3FCAD2DC" w14:textId="77777777" w:rsidR="00CB0394" w:rsidRPr="0090142A" w:rsidRDefault="00CB0394" w:rsidP="00CB0394">
      <w:pPr>
        <w:ind w:firstLine="0"/>
        <w:rPr>
          <w:szCs w:val="24"/>
        </w:rPr>
      </w:pPr>
    </w:p>
    <w:p w14:paraId="6308067B" w14:textId="77777777" w:rsidR="00C713E4" w:rsidRDefault="00C713E4" w:rsidP="00C713E4">
      <w:pPr>
        <w:ind w:left="720" w:firstLine="0"/>
        <w:rPr>
          <w:b/>
          <w:u w:val="single"/>
        </w:rPr>
      </w:pPr>
      <w:r w:rsidRPr="00CB0394">
        <w:rPr>
          <w:b/>
          <w:u w:val="single"/>
        </w:rPr>
        <w:t>LCRA TSC Response:</w:t>
      </w:r>
    </w:p>
    <w:p w14:paraId="45ED7E3D" w14:textId="71CABA56" w:rsidR="00C713E4" w:rsidRPr="00306937" w:rsidRDefault="00B42206" w:rsidP="001C0CA9">
      <w:pPr>
        <w:ind w:left="1440" w:firstLine="0"/>
      </w:pPr>
      <w:r>
        <w:t>LCRA TSC</w:t>
      </w:r>
      <w:r w:rsidR="00C713E4" w:rsidRPr="00306937">
        <w:t xml:space="preserve"> designs substation facilities according to</w:t>
      </w:r>
      <w:r w:rsidR="00A61C49">
        <w:t xml:space="preserve"> its</w:t>
      </w:r>
      <w:r w:rsidR="00C713E4" w:rsidRPr="00306937">
        <w:t xml:space="preserve"> L4328 - Substation Civil Engineering Design Criteria:</w:t>
      </w:r>
    </w:p>
    <w:p w14:paraId="4310D708" w14:textId="77777777" w:rsidR="00C713E4" w:rsidRPr="00306937" w:rsidRDefault="00C713E4" w:rsidP="00C713E4">
      <w:pPr>
        <w:pStyle w:val="ListParagraph"/>
        <w:numPr>
          <w:ilvl w:val="0"/>
          <w:numId w:val="22"/>
        </w:numPr>
        <w:spacing w:after="0" w:line="240" w:lineRule="auto"/>
        <w:contextualSpacing w:val="0"/>
      </w:pPr>
      <w:r w:rsidRPr="00306937">
        <w:t>Finished floor elevations of control houses and critical equipment shall typically be placed a minimum 2 feet above the 1 percent FEMA designated flood levels.</w:t>
      </w:r>
    </w:p>
    <w:p w14:paraId="781624D2" w14:textId="77777777" w:rsidR="00C713E4" w:rsidRPr="00306937" w:rsidRDefault="00C713E4" w:rsidP="00C713E4">
      <w:pPr>
        <w:pStyle w:val="ListParagraph"/>
        <w:numPr>
          <w:ilvl w:val="0"/>
          <w:numId w:val="22"/>
        </w:numPr>
        <w:spacing w:after="0" w:line="240" w:lineRule="auto"/>
      </w:pPr>
      <w:r w:rsidRPr="00306937">
        <w:t>In coastal areas prone to hurricane storm surge, the National Storm Surge Hazard Maps produced by NOAA/NWS/NHC shall be consulted to determine the predicted depth of water at the substation site.</w:t>
      </w:r>
      <w:r w:rsidR="00F91673">
        <w:t xml:space="preserve"> </w:t>
      </w:r>
      <w:r w:rsidRPr="00306937">
        <w:t xml:space="preserve"> Finished floor elevation of control houses and critical equipment shall typically be placed a minimum of 2 feet above the Category 4 Storm Surge predicted maximum water level.</w:t>
      </w:r>
    </w:p>
    <w:p w14:paraId="048F811B" w14:textId="77777777" w:rsidR="00C713E4" w:rsidRPr="00CB0394" w:rsidRDefault="00C713E4" w:rsidP="00C713E4">
      <w:pPr>
        <w:ind w:left="720" w:firstLine="0"/>
        <w:rPr>
          <w:b/>
          <w:u w:val="single"/>
        </w:rPr>
      </w:pPr>
    </w:p>
    <w:p w14:paraId="1058A32E" w14:textId="3701EA55" w:rsidR="002C16C3" w:rsidRDefault="002C16C3" w:rsidP="002C16C3">
      <w:pPr>
        <w:ind w:firstLine="720"/>
      </w:pPr>
      <w:r>
        <w:rPr>
          <w:b/>
          <w:u w:val="single"/>
        </w:rPr>
        <w:t>Sharyland</w:t>
      </w:r>
      <w:r w:rsidRPr="0090142A">
        <w:rPr>
          <w:b/>
          <w:u w:val="single"/>
        </w:rPr>
        <w:t xml:space="preserve"> Response</w:t>
      </w:r>
      <w:r w:rsidRPr="0090142A">
        <w:t>:</w:t>
      </w:r>
    </w:p>
    <w:p w14:paraId="3378E24B" w14:textId="77777777" w:rsidR="00DE626C" w:rsidRDefault="00DE626C" w:rsidP="00DE626C">
      <w:pPr>
        <w:tabs>
          <w:tab w:val="left" w:pos="2250"/>
        </w:tabs>
        <w:ind w:left="1440" w:firstLine="0"/>
      </w:pPr>
      <w:r>
        <w:t xml:space="preserve">Sharyland Utilities’ </w:t>
      </w:r>
      <w:r w:rsidRPr="002C16C3">
        <w:t xml:space="preserve">engineering and construction </w:t>
      </w:r>
      <w:r>
        <w:t xml:space="preserve">process </w:t>
      </w:r>
      <w:r w:rsidRPr="002C16C3">
        <w:t>takes into account the area where the facilities are located and designs for that area</w:t>
      </w:r>
      <w:r>
        <w:t>, applying applicable standards at the time of design</w:t>
      </w:r>
      <w:r w:rsidRPr="002C16C3">
        <w:t>.</w:t>
      </w:r>
      <w:r>
        <w:t xml:space="preserve">  Sharyland’s operational facilities in the Brownsville area of the Lower Rio Grande Valley went </w:t>
      </w:r>
      <w:r w:rsidR="006279CE">
        <w:t>into service in mid-2016</w:t>
      </w:r>
      <w:r>
        <w:t>, and Sharyland is currently constructing additional facilities as described in the response to Question I.A.</w:t>
      </w:r>
    </w:p>
    <w:p w14:paraId="3F8E3522" w14:textId="77777777" w:rsidR="00DE626C" w:rsidRPr="00D338AD" w:rsidRDefault="00DE626C" w:rsidP="00DE626C">
      <w:pPr>
        <w:tabs>
          <w:tab w:val="left" w:pos="2250"/>
        </w:tabs>
        <w:ind w:left="1440" w:firstLine="0"/>
      </w:pPr>
      <w:r>
        <w:t>At the time of design, t</w:t>
      </w:r>
      <w:r w:rsidRPr="00D338AD">
        <w:t xml:space="preserve">he FEMA Flood Insurance Rate Map showed the area of the substation locations to be within Zone A8.  Within Zone A8, there were two water level elevation areas, one at 13 feet above sea level and one at 12 feet, with the Palmito Substation location straddling the two elevation areas and the Stillman Substation within the 13-foot elevation area.  Sharyland implemented the 13-feet above sea level minimum elevation for the 100-year flood interval for both the Palmito and Stillman Substations.  Since the original design of the respective Substations, the FEMA Flood Insurance Rate Map has been updated and no longer uses the A8 zone designation, and the </w:t>
      </w:r>
      <w:r w:rsidR="002672E6">
        <w:t xml:space="preserve">FEMA </w:t>
      </w:r>
      <w:r w:rsidRPr="00D338AD">
        <w:t xml:space="preserve">flood water level elevations </w:t>
      </w:r>
      <w:r w:rsidR="002672E6">
        <w:t xml:space="preserve">applicable </w:t>
      </w:r>
      <w:r w:rsidRPr="00D338AD">
        <w:t xml:space="preserve">at the Palmito Substation </w:t>
      </w:r>
      <w:r w:rsidR="002672E6">
        <w:t xml:space="preserve">location </w:t>
      </w:r>
      <w:r w:rsidRPr="00D338AD">
        <w:t>now range from 6.9 feet to 7.8 feet above sea level,</w:t>
      </w:r>
      <w:r>
        <w:rPr>
          <w:color w:val="FF0000"/>
        </w:rPr>
        <w:t xml:space="preserve"> </w:t>
      </w:r>
      <w:r w:rsidRPr="00D338AD">
        <w:t xml:space="preserve">while the water level elevations at the Stillman Substation </w:t>
      </w:r>
      <w:r w:rsidR="002672E6">
        <w:t xml:space="preserve">location </w:t>
      </w:r>
      <w:r w:rsidRPr="00D338AD">
        <w:t>now range from 8.8 feet to 9.45 feet with a Base Flood Elevation of 10 feet. The elevation used in the original design exceeds the ranges shown on the new FEMA map.</w:t>
      </w:r>
    </w:p>
    <w:p w14:paraId="4D9923AE" w14:textId="65CB65C0" w:rsidR="00DE626C" w:rsidRPr="00CC69A4" w:rsidRDefault="00DE626C" w:rsidP="00DE626C">
      <w:pPr>
        <w:tabs>
          <w:tab w:val="left" w:pos="2250"/>
        </w:tabs>
        <w:ind w:left="1440" w:firstLine="0"/>
      </w:pPr>
      <w:r>
        <w:t xml:space="preserve">The </w:t>
      </w:r>
      <w:r w:rsidRPr="002C16C3">
        <w:t>control house</w:t>
      </w:r>
      <w:r>
        <w:t>s</w:t>
      </w:r>
      <w:r w:rsidRPr="002C16C3">
        <w:t xml:space="preserve"> and other major equipment </w:t>
      </w:r>
      <w:r>
        <w:t xml:space="preserve">are </w:t>
      </w:r>
      <w:r w:rsidRPr="002C16C3">
        <w:t>above the 100-year flood elevation of 13 feet above sea level</w:t>
      </w:r>
      <w:r w:rsidR="00C42ACC">
        <w:t xml:space="preserve"> that existed at the time of design</w:t>
      </w:r>
      <w:r w:rsidRPr="002C16C3">
        <w:t>.</w:t>
      </w:r>
      <w:r>
        <w:t xml:space="preserve">  </w:t>
      </w:r>
      <w:r w:rsidRPr="002C16C3">
        <w:t xml:space="preserve">Grading for </w:t>
      </w:r>
      <w:r>
        <w:t xml:space="preserve">the </w:t>
      </w:r>
      <w:r w:rsidRPr="002C16C3">
        <w:t>substation site</w:t>
      </w:r>
      <w:r>
        <w:t>s</w:t>
      </w:r>
      <w:r w:rsidRPr="002C16C3">
        <w:t xml:space="preserve"> </w:t>
      </w:r>
      <w:r>
        <w:t xml:space="preserve">is </w:t>
      </w:r>
      <w:r w:rsidRPr="002C16C3">
        <w:t>designed such that site drainage may be achieved through the use of surface runoff</w:t>
      </w:r>
      <w:r w:rsidRPr="00D338AD">
        <w:t xml:space="preserve">.  The substation pads are engineered utilizing the 25-year storm interval.  In the event a station is impacted by a storm with a recurring interval greater than 25 years, the station pad is engineered to flood.  </w:t>
      </w:r>
      <w:r w:rsidRPr="002C16C3">
        <w:t>The site surface runoff drainage design use</w:t>
      </w:r>
      <w:r>
        <w:t>s</w:t>
      </w:r>
      <w:r w:rsidRPr="002C16C3">
        <w:t xml:space="preserve"> a minimum slope of 1/150, or 0.67%.</w:t>
      </w:r>
      <w:r w:rsidR="002672E6" w:rsidRPr="00CC69A4">
        <w:t xml:space="preserve"> </w:t>
      </w:r>
    </w:p>
    <w:p w14:paraId="59884BFA" w14:textId="5A36D85E" w:rsidR="002C16C3" w:rsidRDefault="00C42ACC" w:rsidP="00CC69A4">
      <w:pPr>
        <w:tabs>
          <w:tab w:val="left" w:pos="2250"/>
        </w:tabs>
        <w:ind w:left="1440" w:firstLine="0"/>
      </w:pPr>
      <w:r w:rsidRPr="00CC69A4">
        <w:t xml:space="preserve">Based on a review of elevations being used by other utilities, for future </w:t>
      </w:r>
      <w:r w:rsidR="006A3455" w:rsidRPr="00CC69A4">
        <w:t xml:space="preserve">design </w:t>
      </w:r>
      <w:r w:rsidRPr="00CC69A4">
        <w:t xml:space="preserve">in a hurricane evacuation zone, Sharyland will design control house </w:t>
      </w:r>
      <w:r w:rsidR="00066625" w:rsidRPr="00CC69A4">
        <w:t xml:space="preserve">foundations </w:t>
      </w:r>
      <w:r w:rsidRPr="00CC69A4">
        <w:t xml:space="preserve">to be a minimum of 1 foot above the </w:t>
      </w:r>
      <w:r>
        <w:t xml:space="preserve">FEMA </w:t>
      </w:r>
      <w:r w:rsidRPr="00D338AD">
        <w:t>flood water level elevation</w:t>
      </w:r>
      <w:r>
        <w:t>, with the equipment control cabinets being 2 feet above the FEMA flood water level elevation.</w:t>
      </w:r>
    </w:p>
    <w:p w14:paraId="1B489F84" w14:textId="77777777" w:rsidR="00CC69A4" w:rsidRPr="002C16C3" w:rsidRDefault="00CC69A4" w:rsidP="00CC69A4">
      <w:pPr>
        <w:tabs>
          <w:tab w:val="left" w:pos="2250"/>
        </w:tabs>
        <w:ind w:left="1440" w:firstLine="0"/>
      </w:pPr>
    </w:p>
    <w:p w14:paraId="5CD7A995" w14:textId="4B4E03EF" w:rsidR="00C713E4" w:rsidRDefault="003471E2" w:rsidP="007B219E">
      <w:pPr>
        <w:pStyle w:val="Heading2"/>
        <w:ind w:left="720" w:hanging="720"/>
        <w:rPr>
          <w:rFonts w:ascii="Times New Roman" w:hAnsi="Times New Roman" w:cs="Times New Roman"/>
          <w:color w:val="auto"/>
          <w:sz w:val="24"/>
          <w:szCs w:val="24"/>
        </w:rPr>
      </w:pPr>
      <w:r w:rsidRPr="007B219E">
        <w:rPr>
          <w:rFonts w:ascii="Times New Roman" w:hAnsi="Times New Roman" w:cs="Times New Roman"/>
          <w:color w:val="auto"/>
          <w:sz w:val="24"/>
          <w:szCs w:val="24"/>
        </w:rPr>
        <w:t>What data is used to determine current floodplains / base flood elevations</w:t>
      </w:r>
      <w:r w:rsidR="00F117E4">
        <w:rPr>
          <w:rFonts w:ascii="Times New Roman" w:hAnsi="Times New Roman" w:cs="Times New Roman"/>
          <w:color w:val="auto"/>
          <w:sz w:val="24"/>
          <w:szCs w:val="24"/>
        </w:rPr>
        <w:t xml:space="preserve"> (BFE)</w:t>
      </w:r>
      <w:r w:rsidRPr="007B219E">
        <w:rPr>
          <w:rFonts w:ascii="Times New Roman" w:hAnsi="Times New Roman" w:cs="Times New Roman"/>
          <w:color w:val="auto"/>
          <w:sz w:val="24"/>
          <w:szCs w:val="24"/>
        </w:rPr>
        <w:t>?</w:t>
      </w:r>
      <w:r w:rsidR="007B219E">
        <w:rPr>
          <w:rFonts w:ascii="Times New Roman" w:hAnsi="Times New Roman" w:cs="Times New Roman"/>
          <w:color w:val="auto"/>
          <w:sz w:val="24"/>
          <w:szCs w:val="24"/>
        </w:rPr>
        <w:t xml:space="preserve">  </w:t>
      </w:r>
      <w:r w:rsidRPr="007B219E">
        <w:rPr>
          <w:rFonts w:ascii="Times New Roman" w:hAnsi="Times New Roman" w:cs="Times New Roman"/>
          <w:color w:val="auto"/>
          <w:sz w:val="24"/>
          <w:szCs w:val="24"/>
        </w:rPr>
        <w:t>Is there a standard “high-water” elevation, for example: 100 year BFE, 12” above 100 year BFE,  500 year BFE, 12” above Cat</w:t>
      </w:r>
      <w:r w:rsidR="00980B1B">
        <w:rPr>
          <w:rFonts w:ascii="Times New Roman" w:hAnsi="Times New Roman" w:cs="Times New Roman"/>
          <w:color w:val="auto"/>
          <w:sz w:val="24"/>
          <w:szCs w:val="24"/>
        </w:rPr>
        <w:t>egory</w:t>
      </w:r>
      <w:r w:rsidRPr="007B219E">
        <w:rPr>
          <w:rFonts w:ascii="Times New Roman" w:hAnsi="Times New Roman" w:cs="Times New Roman"/>
          <w:color w:val="auto"/>
          <w:sz w:val="24"/>
          <w:szCs w:val="24"/>
        </w:rPr>
        <w:t xml:space="preserve"> 5 Storm Surge, 2’ above the 1% FEMA level, 13’ above sea level.</w:t>
      </w:r>
    </w:p>
    <w:p w14:paraId="184A066A" w14:textId="77777777" w:rsidR="002C5BB3" w:rsidRDefault="002C5BB3" w:rsidP="00C23193">
      <w:pPr>
        <w:ind w:left="720" w:firstLine="0"/>
        <w:rPr>
          <w:b/>
          <w:u w:val="single"/>
        </w:rPr>
      </w:pPr>
    </w:p>
    <w:p w14:paraId="5891AB52" w14:textId="77777777" w:rsidR="00D100CD" w:rsidRDefault="007B219E" w:rsidP="00C23193">
      <w:pPr>
        <w:ind w:left="720" w:firstLine="0"/>
      </w:pPr>
      <w:r w:rsidRPr="00C348F2">
        <w:rPr>
          <w:b/>
          <w:u w:val="single"/>
        </w:rPr>
        <w:t>ETI Response</w:t>
      </w:r>
      <w:r w:rsidRPr="00C348F2">
        <w:t>:</w:t>
      </w:r>
    </w:p>
    <w:p w14:paraId="67663BBC" w14:textId="77777777" w:rsidR="00D100CD" w:rsidRDefault="00C23193" w:rsidP="00C23193">
      <w:pPr>
        <w:ind w:left="720" w:firstLine="0"/>
      </w:pPr>
      <w:r>
        <w:t xml:space="preserve">We are not aware of an industry standard.  </w:t>
      </w:r>
      <w:r w:rsidR="00D100CD" w:rsidRPr="00D100CD">
        <w:t>The primary source of information is the FEMA maps designating Special Flood Hazard Areas (SFHA).</w:t>
      </w:r>
      <w:r w:rsidR="00C9039A" w:rsidRPr="00C9039A">
        <w:t xml:space="preserve"> The Sea, Lake and Overland Surges from Hurricanes (SLOSH) model</w:t>
      </w:r>
      <w:r w:rsidR="00C9039A">
        <w:t>s</w:t>
      </w:r>
      <w:r w:rsidR="00C9039A" w:rsidRPr="00C9039A">
        <w:t xml:space="preserve"> are available for use as needed if constructing in areas subject to storm surge.</w:t>
      </w:r>
      <w:r w:rsidR="00D100CD" w:rsidRPr="00D100CD">
        <w:t xml:space="preserve">  We also obtain information on any local ordinances with regard to development in a SFHA as well as any historical and/or local knowledge we can find.  If the site is not located in a FEMA SFHA, the Flood Insurance Study (FIS) was conducted more than 10 years ago, or the BFE s not otherwise available, engineering judgement will be utilized to determine if a Hydrologic and Hydraulic study should be conducted.</w:t>
      </w:r>
    </w:p>
    <w:p w14:paraId="580E780F" w14:textId="77777777" w:rsidR="007B219E" w:rsidRDefault="00D100CD" w:rsidP="00C23193">
      <w:pPr>
        <w:ind w:left="720" w:firstLine="0"/>
      </w:pPr>
      <w:r w:rsidRPr="00D100CD">
        <w:t>Entergy uses the 100 year BFE as the minimum elevation for the substation site.  A higher site elevation, up to the 500 year flood, may be used based on the criticality of the station to BES reliability.  If the station is being constructed to serve a specific customer, the elevation will be coordinated with that customer.  The top of concrete (TOC) should be 1 foot above the site elevation at a minimum,   The TOC is selected to keep the bottom of all equipment control cabinets a minimum of 2 feet (preferably 4 feet) above the site elevation.  The control house floor should be at or above the bottom of the lowest equipment cabinet.</w:t>
      </w:r>
    </w:p>
    <w:p w14:paraId="5F8788E8" w14:textId="77777777" w:rsidR="002C5BB3" w:rsidRDefault="002C5BB3" w:rsidP="0097365A">
      <w:pPr>
        <w:ind w:firstLine="720"/>
        <w:rPr>
          <w:b/>
          <w:u w:val="single"/>
        </w:rPr>
      </w:pPr>
    </w:p>
    <w:p w14:paraId="3E20AC58" w14:textId="77777777" w:rsidR="0097365A" w:rsidRDefault="0097365A" w:rsidP="0097365A">
      <w:pPr>
        <w:ind w:firstLine="720"/>
        <w:rPr>
          <w:b/>
          <w:u w:val="single"/>
        </w:rPr>
      </w:pPr>
      <w:r>
        <w:rPr>
          <w:b/>
          <w:u w:val="single"/>
        </w:rPr>
        <w:t>TNMP</w:t>
      </w:r>
      <w:r w:rsidRPr="00CB0394">
        <w:rPr>
          <w:b/>
          <w:u w:val="single"/>
        </w:rPr>
        <w:t xml:space="preserve"> Response:</w:t>
      </w:r>
    </w:p>
    <w:p w14:paraId="06807E18" w14:textId="77777777" w:rsidR="0097365A" w:rsidRPr="006701B1" w:rsidRDefault="0097365A" w:rsidP="0097365A">
      <w:pPr>
        <w:pStyle w:val="ListParagraph"/>
        <w:numPr>
          <w:ilvl w:val="0"/>
          <w:numId w:val="32"/>
        </w:numPr>
        <w:spacing w:line="256" w:lineRule="auto"/>
      </w:pPr>
      <w:r w:rsidRPr="006701B1">
        <w:t>There is no industry standard to our knowledge.</w:t>
      </w:r>
    </w:p>
    <w:p w14:paraId="0A721532" w14:textId="77777777" w:rsidR="0097365A" w:rsidRPr="006701B1" w:rsidRDefault="0097365A" w:rsidP="0097365A">
      <w:pPr>
        <w:pStyle w:val="ListParagraph"/>
        <w:numPr>
          <w:ilvl w:val="0"/>
          <w:numId w:val="32"/>
        </w:numPr>
        <w:spacing w:line="256" w:lineRule="auto"/>
      </w:pPr>
      <w:r w:rsidRPr="006701B1">
        <w:t>CNP currently utilizes the following maps;</w:t>
      </w:r>
    </w:p>
    <w:p w14:paraId="55A3D4A9" w14:textId="77777777" w:rsidR="0097365A" w:rsidRPr="006701B1" w:rsidRDefault="0097365A" w:rsidP="0097365A">
      <w:pPr>
        <w:pStyle w:val="ListParagraph"/>
        <w:numPr>
          <w:ilvl w:val="1"/>
          <w:numId w:val="32"/>
        </w:numPr>
        <w:spacing w:line="256" w:lineRule="auto"/>
      </w:pPr>
      <w:r w:rsidRPr="006701B1">
        <w:t>U.S. Department of Homeland Security FEMA flood plain maps</w:t>
      </w:r>
    </w:p>
    <w:p w14:paraId="09224BC3" w14:textId="77777777" w:rsidR="0097365A" w:rsidRPr="006701B1" w:rsidRDefault="0097365A" w:rsidP="0097365A">
      <w:pPr>
        <w:pStyle w:val="ListParagraph"/>
        <w:numPr>
          <w:ilvl w:val="1"/>
          <w:numId w:val="32"/>
        </w:numPr>
        <w:spacing w:line="256" w:lineRule="auto"/>
      </w:pPr>
      <w:r w:rsidRPr="006701B1">
        <w:t>Category 5 NOAA National Storm Surge Hazard maps</w:t>
      </w:r>
    </w:p>
    <w:p w14:paraId="6D9C17CD" w14:textId="77777777" w:rsidR="002C5BB3" w:rsidRDefault="002C5BB3" w:rsidP="00C23193">
      <w:pPr>
        <w:ind w:left="720" w:firstLine="0"/>
        <w:rPr>
          <w:b/>
          <w:szCs w:val="24"/>
          <w:u w:val="single"/>
        </w:rPr>
      </w:pPr>
    </w:p>
    <w:p w14:paraId="03C12EB1" w14:textId="77777777" w:rsidR="0097365A" w:rsidRDefault="00FD3E17" w:rsidP="00C23193">
      <w:pPr>
        <w:ind w:left="720" w:firstLine="0"/>
        <w:rPr>
          <w:b/>
          <w:szCs w:val="24"/>
          <w:u w:val="single"/>
        </w:rPr>
      </w:pPr>
      <w:r w:rsidRPr="005B0781">
        <w:rPr>
          <w:b/>
          <w:szCs w:val="24"/>
          <w:u w:val="single"/>
        </w:rPr>
        <w:t>AEP Response:</w:t>
      </w:r>
    </w:p>
    <w:p w14:paraId="2528EE48" w14:textId="523C1E3B" w:rsidR="00FD3E17" w:rsidRDefault="005B0781" w:rsidP="00C23193">
      <w:pPr>
        <w:ind w:left="720" w:firstLine="0"/>
      </w:pPr>
      <w:r w:rsidRPr="005B0781">
        <w:t>AEP is not aware of an industry standard “high water” elevation.  AEP utilizes U.S. Department of Homeland Security FEMA flood pla</w:t>
      </w:r>
      <w:r w:rsidR="00BB4117">
        <w:t>i</w:t>
      </w:r>
      <w:r w:rsidRPr="005B0781">
        <w:t>n maps and NOAA National Storm Surge Hazard maps.</w:t>
      </w:r>
    </w:p>
    <w:p w14:paraId="4DF8CF05" w14:textId="77777777" w:rsidR="002C5BB3" w:rsidRDefault="002C5BB3" w:rsidP="007B219E">
      <w:pPr>
        <w:ind w:firstLine="720"/>
        <w:rPr>
          <w:b/>
          <w:u w:val="single"/>
        </w:rPr>
      </w:pPr>
    </w:p>
    <w:p w14:paraId="2E49F98D" w14:textId="77777777" w:rsidR="007B219E" w:rsidRDefault="007B219E" w:rsidP="007B219E">
      <w:pPr>
        <w:ind w:firstLine="720"/>
        <w:rPr>
          <w:b/>
          <w:u w:val="single"/>
        </w:rPr>
      </w:pPr>
      <w:r w:rsidRPr="00CB0394">
        <w:rPr>
          <w:b/>
          <w:u w:val="single"/>
        </w:rPr>
        <w:t>CNP Response:</w:t>
      </w:r>
    </w:p>
    <w:p w14:paraId="66F7754E" w14:textId="77777777" w:rsidR="007B219E" w:rsidRPr="006701B1" w:rsidRDefault="007B219E" w:rsidP="007B219E">
      <w:pPr>
        <w:pStyle w:val="ListParagraph"/>
        <w:numPr>
          <w:ilvl w:val="0"/>
          <w:numId w:val="32"/>
        </w:numPr>
        <w:spacing w:line="256" w:lineRule="auto"/>
      </w:pPr>
      <w:r w:rsidRPr="006701B1">
        <w:t>There is no industry standard to our knowledge.</w:t>
      </w:r>
    </w:p>
    <w:p w14:paraId="3E5C1E6F" w14:textId="77777777" w:rsidR="007B219E" w:rsidRPr="006701B1" w:rsidRDefault="007B219E" w:rsidP="007B219E">
      <w:pPr>
        <w:pStyle w:val="ListParagraph"/>
        <w:numPr>
          <w:ilvl w:val="0"/>
          <w:numId w:val="32"/>
        </w:numPr>
        <w:spacing w:line="256" w:lineRule="auto"/>
      </w:pPr>
      <w:r w:rsidRPr="006701B1">
        <w:t>CNP currently utilizes the following maps;</w:t>
      </w:r>
    </w:p>
    <w:p w14:paraId="6F084DC8" w14:textId="77777777" w:rsidR="007B219E" w:rsidRPr="006701B1" w:rsidRDefault="007B219E" w:rsidP="007B219E">
      <w:pPr>
        <w:pStyle w:val="ListParagraph"/>
        <w:numPr>
          <w:ilvl w:val="1"/>
          <w:numId w:val="32"/>
        </w:numPr>
        <w:spacing w:line="256" w:lineRule="auto"/>
      </w:pPr>
      <w:r w:rsidRPr="006701B1">
        <w:t>U.S. Department of Homeland Security FEMA flood plain maps</w:t>
      </w:r>
    </w:p>
    <w:p w14:paraId="2C9CDA1C" w14:textId="77777777" w:rsidR="007B219E" w:rsidRPr="006701B1" w:rsidRDefault="007B219E" w:rsidP="007B219E">
      <w:pPr>
        <w:pStyle w:val="ListParagraph"/>
        <w:numPr>
          <w:ilvl w:val="1"/>
          <w:numId w:val="32"/>
        </w:numPr>
        <w:spacing w:line="256" w:lineRule="auto"/>
      </w:pPr>
      <w:r w:rsidRPr="006701B1">
        <w:t>Category 5 NOAA National Storm Surge Hazard maps</w:t>
      </w:r>
    </w:p>
    <w:p w14:paraId="5D2ACD41" w14:textId="77777777" w:rsidR="002C5BB3" w:rsidRDefault="002C5BB3" w:rsidP="005316EE">
      <w:pPr>
        <w:ind w:left="720" w:firstLine="0"/>
        <w:rPr>
          <w:b/>
          <w:u w:val="single"/>
        </w:rPr>
      </w:pPr>
    </w:p>
    <w:p w14:paraId="18681FBE" w14:textId="77777777" w:rsidR="00034CDB" w:rsidRPr="00034CDB" w:rsidRDefault="00034CDB" w:rsidP="005316EE">
      <w:pPr>
        <w:ind w:left="720" w:firstLine="0"/>
      </w:pPr>
      <w:r w:rsidRPr="00CB0394">
        <w:rPr>
          <w:b/>
          <w:u w:val="single"/>
        </w:rPr>
        <w:t>LCRA TSC Response:</w:t>
      </w:r>
    </w:p>
    <w:p w14:paraId="6D967F02" w14:textId="77777777" w:rsidR="00034CDB" w:rsidRDefault="00034CDB" w:rsidP="005316EE">
      <w:pPr>
        <w:ind w:left="720" w:firstLine="0"/>
      </w:pPr>
      <w:r w:rsidRPr="00034CDB">
        <w:t>The base elevations are obtain</w:t>
      </w:r>
      <w:r>
        <w:t>ed</w:t>
      </w:r>
      <w:r w:rsidRPr="00034CDB">
        <w:t xml:space="preserve"> from FEMA online maps. If the elevation is not available further studies are performed.</w:t>
      </w:r>
    </w:p>
    <w:p w14:paraId="41935867" w14:textId="77777777" w:rsidR="00034CDB" w:rsidRDefault="00034CDB" w:rsidP="00034CDB">
      <w:pPr>
        <w:ind w:left="720" w:firstLine="0"/>
      </w:pPr>
      <w:r>
        <w:t>Finished floor elevations of control houses and critical equipment shall typically be placed a minimum 2 feet above the 1 percent FEMA designated flood levels.  ASCE 24 is used as the basis for this design criteria.</w:t>
      </w:r>
    </w:p>
    <w:p w14:paraId="4CB337D1" w14:textId="77777777" w:rsidR="00034CDB" w:rsidRPr="00034CDB" w:rsidRDefault="00034CDB" w:rsidP="00034CDB">
      <w:pPr>
        <w:ind w:left="720" w:firstLine="0"/>
      </w:pPr>
      <w:r>
        <w:t>In coastal areas prone to hurricane storm surge, the National Storm Surge Hazard Maps produced by NOAA/NWS/NHC shall be consulted to determine the predicted depth of water at the substation site.  Finished floor elevation of control houses and critical equipment shall typically be placed a minimum of 2 feet above the Category 4 Storm Surge predicted maximum water level.</w:t>
      </w:r>
    </w:p>
    <w:p w14:paraId="4E1119AB" w14:textId="77777777" w:rsidR="002C5BB3" w:rsidRDefault="002C5BB3" w:rsidP="005316EE">
      <w:pPr>
        <w:ind w:left="720" w:firstLine="0"/>
        <w:rPr>
          <w:b/>
          <w:u w:val="single"/>
        </w:rPr>
      </w:pPr>
    </w:p>
    <w:p w14:paraId="384271C6" w14:textId="77777777" w:rsidR="002C5BB3" w:rsidRDefault="007B219E" w:rsidP="005316EE">
      <w:pPr>
        <w:ind w:left="720" w:firstLine="0"/>
      </w:pPr>
      <w:r>
        <w:rPr>
          <w:b/>
          <w:u w:val="single"/>
        </w:rPr>
        <w:t>Sharyland</w:t>
      </w:r>
      <w:r w:rsidRPr="0090142A">
        <w:rPr>
          <w:b/>
          <w:u w:val="single"/>
        </w:rPr>
        <w:t xml:space="preserve"> Response</w:t>
      </w:r>
      <w:r w:rsidRPr="0090142A">
        <w:t>:</w:t>
      </w:r>
    </w:p>
    <w:p w14:paraId="127122F2" w14:textId="6813783E" w:rsidR="007B219E" w:rsidRDefault="005316EE" w:rsidP="005316EE">
      <w:pPr>
        <w:ind w:left="720" w:firstLine="0"/>
      </w:pPr>
      <w:r w:rsidRPr="005316EE">
        <w:t>There is not a single, standard “high-water” elevation.  FEMA “high-water” elevations vary by region and can change over time.  Sharyland utilized the FEMA Flood Insurance Rate Map available at the time of design of the Palmito and Stillman Substations.  See also, Sharyland’s response in Section I.C.</w:t>
      </w:r>
    </w:p>
    <w:p w14:paraId="19566579" w14:textId="77777777" w:rsidR="007B219E" w:rsidRPr="007B219E" w:rsidRDefault="007B219E" w:rsidP="007B219E">
      <w:pPr>
        <w:ind w:firstLine="0"/>
      </w:pPr>
    </w:p>
    <w:p w14:paraId="227F9858" w14:textId="77777777" w:rsidR="00021913" w:rsidRPr="005D7206" w:rsidRDefault="00021913">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Hardening Measures</w:t>
      </w:r>
    </w:p>
    <w:p w14:paraId="14042317" w14:textId="77777777" w:rsidR="00021913" w:rsidRDefault="00021913" w:rsidP="00240061">
      <w:pPr>
        <w:pStyle w:val="Heading2"/>
        <w:ind w:left="720"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Explain whether any hardening </w:t>
      </w:r>
      <w:r w:rsidR="005D7206" w:rsidRPr="005D7206">
        <w:rPr>
          <w:rFonts w:ascii="Times New Roman" w:hAnsi="Times New Roman" w:cs="Times New Roman"/>
          <w:color w:val="auto"/>
          <w:sz w:val="24"/>
          <w:szCs w:val="24"/>
        </w:rPr>
        <w:t>measures you took</w:t>
      </w:r>
      <w:r w:rsidRPr="005D7206">
        <w:rPr>
          <w:rFonts w:ascii="Times New Roman" w:hAnsi="Times New Roman" w:cs="Times New Roman"/>
          <w:color w:val="auto"/>
          <w:sz w:val="24"/>
          <w:szCs w:val="24"/>
        </w:rPr>
        <w:t xml:space="preserve"> before Hurr</w:t>
      </w:r>
      <w:r w:rsidR="005D7206" w:rsidRPr="005D7206">
        <w:rPr>
          <w:rFonts w:ascii="Times New Roman" w:hAnsi="Times New Roman" w:cs="Times New Roman"/>
          <w:color w:val="auto"/>
          <w:sz w:val="24"/>
          <w:szCs w:val="24"/>
        </w:rPr>
        <w:t>icane Harvey improved the resilience</w:t>
      </w:r>
      <w:r w:rsidRPr="005D7206">
        <w:rPr>
          <w:rFonts w:ascii="Times New Roman" w:hAnsi="Times New Roman" w:cs="Times New Roman"/>
          <w:color w:val="auto"/>
          <w:sz w:val="24"/>
          <w:szCs w:val="24"/>
        </w:rPr>
        <w:t xml:space="preserve"> </w:t>
      </w:r>
      <w:r w:rsidR="005D7206" w:rsidRPr="005D7206">
        <w:rPr>
          <w:rFonts w:ascii="Times New Roman" w:hAnsi="Times New Roman" w:cs="Times New Roman"/>
          <w:color w:val="auto"/>
          <w:sz w:val="24"/>
          <w:szCs w:val="24"/>
        </w:rPr>
        <w:t xml:space="preserve">of your facilities </w:t>
      </w:r>
      <w:r w:rsidRPr="005D7206">
        <w:rPr>
          <w:rFonts w:ascii="Times New Roman" w:hAnsi="Times New Roman" w:cs="Times New Roman"/>
          <w:color w:val="auto"/>
          <w:sz w:val="24"/>
          <w:szCs w:val="24"/>
        </w:rPr>
        <w:t>to Hurricane Harvey.  If they did, describe the hardening measures and what caused you to implement them.</w:t>
      </w:r>
    </w:p>
    <w:p w14:paraId="7DC2E8E4" w14:textId="77777777" w:rsidR="00076B18" w:rsidRPr="00F91673" w:rsidRDefault="00076B18" w:rsidP="00555CF1">
      <w:pPr>
        <w:ind w:left="720" w:firstLine="0"/>
      </w:pPr>
    </w:p>
    <w:p w14:paraId="396D743B" w14:textId="77777777" w:rsidR="00076B18" w:rsidRPr="00C348F2" w:rsidRDefault="00076B18" w:rsidP="0024392D">
      <w:pPr>
        <w:ind w:firstLine="720"/>
      </w:pPr>
      <w:r w:rsidRPr="00C348F2">
        <w:rPr>
          <w:b/>
          <w:u w:val="single"/>
        </w:rPr>
        <w:t>ETI Response</w:t>
      </w:r>
      <w:r w:rsidRPr="00C348F2">
        <w:t>:</w:t>
      </w:r>
    </w:p>
    <w:p w14:paraId="3710C996" w14:textId="77777777" w:rsidR="00076B18" w:rsidRPr="00C348F2" w:rsidRDefault="00076B18" w:rsidP="0024392D">
      <w:pPr>
        <w:spacing w:after="0" w:line="240" w:lineRule="auto"/>
        <w:ind w:left="1440" w:firstLine="0"/>
        <w:jc w:val="both"/>
      </w:pPr>
      <w:r w:rsidRPr="00C348F2">
        <w:t>ETI’s storm hardening strategies are based on the Entergy Hurricane Hardening Study completed in 2007.  For ETI’s transmission system, the following str</w:t>
      </w:r>
      <w:r w:rsidR="009D4EA4">
        <w:t>ategies have been employed:  1)</w:t>
      </w:r>
      <w:r w:rsidR="006701B1">
        <w:t xml:space="preserve"> </w:t>
      </w:r>
      <w:r w:rsidRPr="00C348F2">
        <w:t xml:space="preserve">When necessary to replace existing wood poles, replacement shall be with concrete or steel poles.  2) Use steel or concrete poles for construction of new facilities.  3) </w:t>
      </w:r>
      <w:r w:rsidR="00D100CD">
        <w:t xml:space="preserve">In order </w:t>
      </w:r>
      <w:r w:rsidR="00D100CD" w:rsidRPr="00D100CD">
        <w:t xml:space="preserve">to concentrate on the major roads that </w:t>
      </w:r>
      <w:r w:rsidR="00D100CD">
        <w:t>c</w:t>
      </w:r>
      <w:r w:rsidR="00D100CD" w:rsidRPr="00D100CD">
        <w:t>ould be used for bringing in emergency response resources to impacted areas</w:t>
      </w:r>
      <w:r w:rsidR="00D100CD">
        <w:t>, c</w:t>
      </w:r>
      <w:r w:rsidRPr="00C348F2">
        <w:t>onvert interstate crossings from wood pole construction to concrete or steel construction.  For ETI’s distribution system, the following strategies have been employed:  1) Install minimum class 3 or larger, 45 ft. or taller poles on trunk feeders for new construction or replacements.</w:t>
      </w:r>
      <w:r w:rsidR="00AC3869" w:rsidRPr="00C348F2">
        <w:t xml:space="preserve"> </w:t>
      </w:r>
      <w:r w:rsidR="00123EEE" w:rsidRPr="00C348F2">
        <w:t xml:space="preserve">Note: prior to 2017, the use of these larger poles was limited to areas south of I-10 (i.e. coastal areas subject to high winds).  </w:t>
      </w:r>
      <w:r w:rsidR="00AC3869" w:rsidRPr="00C348F2">
        <w:t xml:space="preserve">In </w:t>
      </w:r>
      <w:r w:rsidR="00123EEE" w:rsidRPr="00C348F2">
        <w:t>ETI’s</w:t>
      </w:r>
      <w:r w:rsidR="00AC3869" w:rsidRPr="00C348F2">
        <w:t xml:space="preserve"> 2017 Storm Hardening Report, </w:t>
      </w:r>
      <w:r w:rsidR="00792433" w:rsidRPr="002070CB">
        <w:t>PUCT</w:t>
      </w:r>
      <w:r w:rsidR="00792433" w:rsidRPr="00A1688C">
        <w:t xml:space="preserve"> §</w:t>
      </w:r>
      <w:r w:rsidR="00AC3869" w:rsidRPr="00C348F2">
        <w:t xml:space="preserve">25.95, </w:t>
      </w:r>
      <w:r w:rsidR="00123EEE" w:rsidRPr="00C348F2">
        <w:t>ETI</w:t>
      </w:r>
      <w:r w:rsidR="00AC3869" w:rsidRPr="00C348F2">
        <w:t xml:space="preserve"> indicated the following was a material change to the 2016-2020</w:t>
      </w:r>
      <w:r w:rsidR="00123EEE" w:rsidRPr="00C348F2">
        <w:t xml:space="preserve"> Storm Hardening P</w:t>
      </w:r>
      <w:r w:rsidR="00AC3869" w:rsidRPr="00C348F2">
        <w:t>lan.  “Distribution Standards were revised and expanded to include all of ETI’s service areas which specifies the installation of minimum class 3 poles or larger, 45ft. or taller poles on trunk feeders for new construction or replacements.”</w:t>
      </w:r>
      <w:r w:rsidR="00123EEE" w:rsidRPr="00C348F2">
        <w:t xml:space="preserve">  Also note that i</w:t>
      </w:r>
      <w:r w:rsidR="00AC3869" w:rsidRPr="00C348F2">
        <w:t xml:space="preserve">n </w:t>
      </w:r>
      <w:r w:rsidR="00123EEE" w:rsidRPr="00C348F2">
        <w:t>ETI’s</w:t>
      </w:r>
      <w:r w:rsidR="00AC3869" w:rsidRPr="00C348F2">
        <w:t xml:space="preserve"> 2018 report, </w:t>
      </w:r>
      <w:r w:rsidR="00123EEE" w:rsidRPr="00C348F2">
        <w:t>ETI introduced a</w:t>
      </w:r>
      <w:r w:rsidR="00AC3869" w:rsidRPr="00C348F2">
        <w:t xml:space="preserve"> pilot</w:t>
      </w:r>
      <w:r w:rsidR="00123EEE" w:rsidRPr="00C348F2">
        <w:t xml:space="preserve"> program for </w:t>
      </w:r>
      <w:r w:rsidR="00AC3869" w:rsidRPr="00C348F2">
        <w:t xml:space="preserve">the use of Composite poles.  </w:t>
      </w:r>
      <w:r w:rsidRPr="00C348F2">
        <w:t xml:space="preserve">2) Expand installation of storm guys.  3) </w:t>
      </w:r>
      <w:r w:rsidR="00D100CD">
        <w:t xml:space="preserve">In order </w:t>
      </w:r>
      <w:r w:rsidR="00D100CD" w:rsidRPr="00D100CD">
        <w:t xml:space="preserve">to concentrate on the major roads that </w:t>
      </w:r>
      <w:r w:rsidR="00D100CD">
        <w:t>c</w:t>
      </w:r>
      <w:r w:rsidR="00D100CD" w:rsidRPr="00D100CD">
        <w:t>ould be used for bringing in emergency response resources to impacted areas</w:t>
      </w:r>
      <w:r w:rsidR="00D100CD">
        <w:t>, c</w:t>
      </w:r>
      <w:r w:rsidRPr="00C348F2">
        <w:t>onvert existing wood pole interstate crossings with steel poles.  In regard to emergency response plans, the company relies upon various plans, policies, and procedures designed to protect the reliability of the electrical system and to facilitate the restoration of electric service to customers in a rapid, orderly and safe manner.  Each plan is reviewed and tested annually by a planned exercise and/or an actual event.  Each major event such as Ike, Rita and the Baton Rouge flooding of 2016 allows us the opportunity for improvements on how we prepare and respond to future storms such as Harvey.</w:t>
      </w:r>
    </w:p>
    <w:p w14:paraId="1A124447" w14:textId="77777777" w:rsidR="00076B18" w:rsidRPr="00C348F2" w:rsidRDefault="00076B18" w:rsidP="00795BCC">
      <w:pPr>
        <w:ind w:left="1440" w:firstLine="0"/>
      </w:pPr>
      <w:r w:rsidRPr="00C348F2">
        <w:t xml:space="preserve">Due to the storm hardening strategies being integrated into new construction as well as maintenance, it is difficult to pinpoint exact projects and their incremental effect on storm resilience.  However, as part of the annual filings for </w:t>
      </w:r>
      <w:r w:rsidR="00792433" w:rsidRPr="002070CB">
        <w:t>PUCT</w:t>
      </w:r>
      <w:r w:rsidR="00792433" w:rsidRPr="00A1688C">
        <w:t xml:space="preserve"> §</w:t>
      </w:r>
      <w:r w:rsidRPr="00C348F2">
        <w:t xml:space="preserve">25.94-Infrastructure Improvement and Maintenance Report, </w:t>
      </w:r>
      <w:r w:rsidR="00792433" w:rsidRPr="002070CB">
        <w:t>PUCT</w:t>
      </w:r>
      <w:r w:rsidR="00792433" w:rsidRPr="00A1688C">
        <w:t xml:space="preserve"> §</w:t>
      </w:r>
      <w:r w:rsidR="001343FD" w:rsidRPr="00C348F2">
        <w:t xml:space="preserve">25.95-Storm Hardening Plan Summary, and </w:t>
      </w:r>
      <w:r w:rsidR="00792433" w:rsidRPr="002070CB">
        <w:t>PUCT</w:t>
      </w:r>
      <w:r w:rsidR="00792433" w:rsidRPr="00A1688C">
        <w:t xml:space="preserve"> §</w:t>
      </w:r>
      <w:r w:rsidR="001343FD" w:rsidRPr="00C348F2">
        <w:t>25.96-Vegetation Management Report, ETI attempts to identify the projects completed as part of its storm hardening plans, as well as its distribution vegetation management activities.  In regard to substation flooding, the following provides a brief summary of projects implemented prior to Hurricane Harvey:</w:t>
      </w:r>
    </w:p>
    <w:p w14:paraId="49D227E4" w14:textId="77777777" w:rsidR="001343FD" w:rsidRPr="00C348F2" w:rsidRDefault="00555CF1" w:rsidP="001C0CA9">
      <w:pPr>
        <w:pStyle w:val="ListParagraph"/>
        <w:numPr>
          <w:ilvl w:val="0"/>
          <w:numId w:val="24"/>
        </w:numPr>
      </w:pPr>
      <w:r w:rsidRPr="00C348F2">
        <w:t>Installation of Tiger Dams at Hartburg Substation – Improved resilience.</w:t>
      </w:r>
    </w:p>
    <w:p w14:paraId="1E513657" w14:textId="77777777" w:rsidR="000A5821" w:rsidRPr="00C348F2" w:rsidRDefault="00555CF1" w:rsidP="001C0CA9">
      <w:pPr>
        <w:pStyle w:val="ListParagraph"/>
        <w:numPr>
          <w:ilvl w:val="0"/>
          <w:numId w:val="24"/>
        </w:numPr>
      </w:pPr>
      <w:r w:rsidRPr="00C348F2">
        <w:t>Relied on flood mitigations already installed at stations with prior flooding issues:</w:t>
      </w:r>
    </w:p>
    <w:p w14:paraId="2C9E5949" w14:textId="77777777" w:rsidR="001C0CA9" w:rsidRDefault="001C0CA9" w:rsidP="0024392D">
      <w:pPr>
        <w:pStyle w:val="ListParagraph"/>
        <w:ind w:left="2160" w:firstLine="0"/>
      </w:pPr>
      <w:r>
        <w:t xml:space="preserve">1) Amelia - </w:t>
      </w:r>
      <w:r w:rsidR="00555CF1" w:rsidRPr="00C348F2">
        <w:t xml:space="preserve">Concrete wall with permanent pump installation – No Improvement.  </w:t>
      </w:r>
    </w:p>
    <w:p w14:paraId="51D40967" w14:textId="77777777" w:rsidR="001C0CA9" w:rsidRDefault="009D4EA4" w:rsidP="0024392D">
      <w:pPr>
        <w:pStyle w:val="ListParagraph"/>
        <w:ind w:left="2160" w:firstLine="0"/>
      </w:pPr>
      <w:r>
        <w:t xml:space="preserve">2) </w:t>
      </w:r>
      <w:r w:rsidR="001C0CA9">
        <w:t xml:space="preserve">Kountze Bulk - Elevated Control House - </w:t>
      </w:r>
      <w:r w:rsidR="00555CF1" w:rsidRPr="00C348F2">
        <w:t>Limited Damage.</w:t>
      </w:r>
    </w:p>
    <w:p w14:paraId="4E79A3FC" w14:textId="77777777" w:rsidR="001343FD" w:rsidRPr="00C348F2" w:rsidRDefault="001C0CA9" w:rsidP="0024392D">
      <w:pPr>
        <w:pStyle w:val="ListParagraph"/>
        <w:ind w:left="2160" w:firstLine="0"/>
      </w:pPr>
      <w:r>
        <w:t xml:space="preserve">3) Sabine - </w:t>
      </w:r>
      <w:r w:rsidR="00555CF1" w:rsidRPr="00C348F2">
        <w:t>Concrete wall with permanent pump installation – Limited Damage.</w:t>
      </w:r>
    </w:p>
    <w:p w14:paraId="2B94E625" w14:textId="77777777" w:rsidR="00555CF1" w:rsidRPr="00C348F2" w:rsidRDefault="00555CF1" w:rsidP="001C0CA9">
      <w:pPr>
        <w:pStyle w:val="ListParagraph"/>
        <w:numPr>
          <w:ilvl w:val="0"/>
          <w:numId w:val="24"/>
        </w:numPr>
      </w:pPr>
      <w:r w:rsidRPr="00C348F2">
        <w:t>All Hardening Measures taken due to experience during other flooding events.</w:t>
      </w:r>
    </w:p>
    <w:p w14:paraId="0A4DECFD" w14:textId="77777777" w:rsidR="00555CF1" w:rsidRDefault="00555CF1" w:rsidP="00555CF1"/>
    <w:p w14:paraId="6A896DB0" w14:textId="77777777" w:rsidR="0024392D" w:rsidRDefault="000A5821" w:rsidP="0024392D">
      <w:pPr>
        <w:ind w:left="720" w:firstLine="0"/>
      </w:pPr>
      <w:r w:rsidRPr="0024392D">
        <w:rPr>
          <w:b/>
          <w:u w:val="single"/>
        </w:rPr>
        <w:t>TNMP Response</w:t>
      </w:r>
      <w:r w:rsidR="00F91673">
        <w:t>:</w:t>
      </w:r>
    </w:p>
    <w:p w14:paraId="3541F997" w14:textId="77777777" w:rsidR="000A5821" w:rsidRDefault="000A5821" w:rsidP="0024392D">
      <w:pPr>
        <w:ind w:left="1440" w:firstLine="0"/>
      </w:pPr>
      <w:r>
        <w:t>TNMP did take some hardening measures before Hurricane Harvey which</w:t>
      </w:r>
      <w:r w:rsidR="0024392D">
        <w:t xml:space="preserve"> did </w:t>
      </w:r>
      <w:r>
        <w:t>improve the resilience of TNMP system facilities.  These measures were taken mostly as a result of damage incurred as a result of Hurricane Ike, operating conditions resulting from operations in a petrochemical environment and other general reliability improvements needed to improve service.  Samples of these types of activities include:</w:t>
      </w:r>
    </w:p>
    <w:p w14:paraId="3F10EAF9" w14:textId="77777777" w:rsidR="000A5821" w:rsidRDefault="000A5821" w:rsidP="001C0CA9">
      <w:pPr>
        <w:pStyle w:val="ListParagraph"/>
        <w:numPr>
          <w:ilvl w:val="0"/>
          <w:numId w:val="23"/>
        </w:numPr>
      </w:pPr>
      <w:r>
        <w:t>Utilization of hardened distribution facilities construction such as concrete poles/ additional guying to help with wind loading and improved waterproofing of ground mounted facilities;</w:t>
      </w:r>
    </w:p>
    <w:p w14:paraId="0713397D" w14:textId="77777777" w:rsidR="000A5821" w:rsidRDefault="000A5821" w:rsidP="001C0CA9">
      <w:pPr>
        <w:pStyle w:val="ListParagraph"/>
        <w:numPr>
          <w:ilvl w:val="0"/>
          <w:numId w:val="23"/>
        </w:numPr>
      </w:pPr>
      <w:r>
        <w:t>Increased IR and physical station inspections for key facilities;</w:t>
      </w:r>
    </w:p>
    <w:p w14:paraId="07911A86" w14:textId="77777777" w:rsidR="000A5821" w:rsidRDefault="000A5821" w:rsidP="001C0CA9">
      <w:pPr>
        <w:pStyle w:val="ListParagraph"/>
        <w:numPr>
          <w:ilvl w:val="0"/>
          <w:numId w:val="23"/>
        </w:numPr>
      </w:pPr>
      <w:r>
        <w:t>Infrastructure purchased and upgrades due to capacity needs that replaced older equipment prone to issues during storms (ex., fused substation transformers replaced with breaker stations instead);</w:t>
      </w:r>
    </w:p>
    <w:p w14:paraId="64B33D4D" w14:textId="77777777" w:rsidR="000A5821" w:rsidRDefault="000A5821" w:rsidP="001C0CA9">
      <w:pPr>
        <w:pStyle w:val="ListParagraph"/>
        <w:numPr>
          <w:ilvl w:val="0"/>
          <w:numId w:val="23"/>
        </w:numPr>
      </w:pPr>
      <w:r>
        <w:t>Transmission protection equipment upgrades resulting in more secure and less frequent transmission system operations;</w:t>
      </w:r>
    </w:p>
    <w:p w14:paraId="4B439CC5" w14:textId="77777777" w:rsidR="000A5821" w:rsidRDefault="000A5821" w:rsidP="001C0CA9">
      <w:pPr>
        <w:pStyle w:val="ListParagraph"/>
        <w:numPr>
          <w:ilvl w:val="0"/>
          <w:numId w:val="23"/>
        </w:numPr>
      </w:pPr>
      <w:r>
        <w:t>Replacement of equipment prone to contamination with newer technology (ex., glazed substation insulators)</w:t>
      </w:r>
    </w:p>
    <w:p w14:paraId="7BE21DAF" w14:textId="77777777" w:rsidR="001C0CA9" w:rsidRDefault="001C0CA9" w:rsidP="001C0CA9">
      <w:pPr>
        <w:ind w:left="720" w:firstLine="0"/>
        <w:rPr>
          <w:b/>
          <w:szCs w:val="24"/>
          <w:u w:val="single"/>
        </w:rPr>
      </w:pPr>
    </w:p>
    <w:p w14:paraId="2C99C6E6" w14:textId="77777777" w:rsidR="00F643D7" w:rsidRPr="000F1770" w:rsidRDefault="00F643D7" w:rsidP="00F643D7">
      <w:pPr>
        <w:ind w:left="720" w:firstLine="0"/>
        <w:rPr>
          <w:b/>
          <w:szCs w:val="24"/>
          <w:u w:val="single"/>
        </w:rPr>
      </w:pPr>
      <w:r w:rsidRPr="000F1770">
        <w:rPr>
          <w:b/>
          <w:szCs w:val="24"/>
          <w:u w:val="single"/>
        </w:rPr>
        <w:t>AEP Texas Distribution Response:</w:t>
      </w:r>
    </w:p>
    <w:p w14:paraId="22703701" w14:textId="15AF7CFD" w:rsidR="00240061" w:rsidRPr="00240061" w:rsidRDefault="00240061" w:rsidP="00240061">
      <w:pPr>
        <w:ind w:left="1440" w:firstLine="0"/>
        <w:rPr>
          <w:szCs w:val="24"/>
        </w:rPr>
      </w:pPr>
      <w:r w:rsidRPr="00240061">
        <w:rPr>
          <w:szCs w:val="24"/>
        </w:rPr>
        <w:t xml:space="preserve">Pinpointing specific hardening measures implemented prior to Hurricane Harvey that directly improved resilience of the AEP Texas distribution system is challenging, due mainly to the large geographic area sustaining damage as well as the unprecedented nature of flying debris throughout the area affected by the storm.  Anecdotally, restoration crews indicated that newer facilities fared better than older facilities unless flying debris, such as roofing material, billboards or vegetation, contributed to the facilities’ failure. </w:t>
      </w:r>
    </w:p>
    <w:p w14:paraId="45FAE5D9" w14:textId="77777777" w:rsidR="00240061" w:rsidRPr="00240061" w:rsidRDefault="00240061" w:rsidP="00240061">
      <w:pPr>
        <w:ind w:left="1440" w:firstLine="0"/>
        <w:rPr>
          <w:szCs w:val="24"/>
        </w:rPr>
      </w:pPr>
      <w:r w:rsidRPr="00240061">
        <w:rPr>
          <w:szCs w:val="24"/>
        </w:rPr>
        <w:t>In general, AEP Texas strives to continually improve the resilience and reliability of its system.  As such, the Company designs, builds and maintains distribution facilities to meet and/or exceed the current National Electric Safety Code (NESC) and American National Standard Institute (ANSI) standards established for the geographic areas served.  .AEP Texas has taken steps to strengthen its distribution system to withstand extreme weather conditions and minimize customer outage time.  The AEP Texas hardening practices are generally described in reports submitted by AEP Texas in two Commission projects:</w:t>
      </w:r>
    </w:p>
    <w:p w14:paraId="4550906C" w14:textId="77777777" w:rsidR="00240061" w:rsidRPr="00240061" w:rsidRDefault="00240061" w:rsidP="00240061">
      <w:pPr>
        <w:pStyle w:val="ListParagraph"/>
        <w:numPr>
          <w:ilvl w:val="0"/>
          <w:numId w:val="33"/>
        </w:numPr>
        <w:rPr>
          <w:szCs w:val="24"/>
        </w:rPr>
      </w:pPr>
      <w:r w:rsidRPr="00240061">
        <w:rPr>
          <w:szCs w:val="24"/>
        </w:rPr>
        <w:t>Project No. 38068, Report for Utility Infrastructure Improvement and Maintenance Required by 16 TEX. ADMIN. CODE §25.94</w:t>
      </w:r>
    </w:p>
    <w:p w14:paraId="3EC149DD" w14:textId="77777777" w:rsidR="00240061" w:rsidRPr="00240061" w:rsidRDefault="00240061" w:rsidP="00240061">
      <w:pPr>
        <w:pStyle w:val="ListParagraph"/>
        <w:numPr>
          <w:ilvl w:val="0"/>
          <w:numId w:val="33"/>
        </w:numPr>
        <w:rPr>
          <w:szCs w:val="24"/>
        </w:rPr>
      </w:pPr>
      <w:r w:rsidRPr="00240061">
        <w:rPr>
          <w:szCs w:val="24"/>
        </w:rPr>
        <w:t>Project No. 39339, Report for Electric Utility Infrastructure Hardening Required by 16 TEX. ADMIN. CODE §25.95</w:t>
      </w:r>
    </w:p>
    <w:p w14:paraId="183B79D5" w14:textId="58D4E399" w:rsidR="00BA009F" w:rsidRPr="00BA009F" w:rsidRDefault="00BA009F" w:rsidP="00BA009F">
      <w:pPr>
        <w:ind w:left="720" w:firstLine="0"/>
        <w:rPr>
          <w:b/>
          <w:szCs w:val="24"/>
          <w:u w:val="single"/>
        </w:rPr>
      </w:pPr>
      <w:r w:rsidRPr="00BA009F">
        <w:rPr>
          <w:b/>
          <w:szCs w:val="24"/>
          <w:u w:val="single"/>
        </w:rPr>
        <w:t>AEP Texas Transmission Response:</w:t>
      </w:r>
    </w:p>
    <w:p w14:paraId="3CBD8BFD" w14:textId="4B2F223F" w:rsidR="00BA009F" w:rsidRPr="00BA009F" w:rsidRDefault="00BA009F" w:rsidP="00BA009F">
      <w:pPr>
        <w:ind w:left="1440" w:firstLine="0"/>
        <w:rPr>
          <w:szCs w:val="24"/>
        </w:rPr>
      </w:pPr>
      <w:r w:rsidRPr="00BA009F">
        <w:rPr>
          <w:szCs w:val="24"/>
        </w:rPr>
        <w:t xml:space="preserve">AEP Texas currently designs, builds and maintains its transmission facilities to meet or exceed the current NESC and ANSI standards established for its particular geographic areas.  AEP Texas also adheres to North American Electric Reliability Corporation (NERC) </w:t>
      </w:r>
      <w:r w:rsidR="00BB4117">
        <w:rPr>
          <w:szCs w:val="24"/>
        </w:rPr>
        <w:t xml:space="preserve">standards </w:t>
      </w:r>
      <w:r w:rsidRPr="00BA009F">
        <w:rPr>
          <w:szCs w:val="24"/>
        </w:rPr>
        <w:t xml:space="preserve">and Electric Reliability Council of Texas (ERCOT) </w:t>
      </w:r>
      <w:r w:rsidR="00BB4117">
        <w:rPr>
          <w:szCs w:val="24"/>
        </w:rPr>
        <w:t>protocols and guides</w:t>
      </w:r>
      <w:r w:rsidRPr="00BA009F">
        <w:rPr>
          <w:szCs w:val="24"/>
        </w:rPr>
        <w:t xml:space="preserve">. </w:t>
      </w:r>
      <w:r w:rsidR="00BB4117">
        <w:rPr>
          <w:szCs w:val="24"/>
        </w:rPr>
        <w:t xml:space="preserve"> Collectively, t</w:t>
      </w:r>
      <w:r w:rsidRPr="00BA009F">
        <w:rPr>
          <w:szCs w:val="24"/>
        </w:rPr>
        <w:t xml:space="preserve">hese standards establish guidelines for the practical safeguarding of persons during the installation, operation and maintenance of electric lines and associated equipment.  The NESC and ANSI standards contain the basic provisions that are considered necessary for the safety of employees and the public under the specified conditions, and also include provisions for areas susceptible to hurricane force winds.  AEP Texas exceeds the NESC extreme wind criteria standard by using a 140 mph wind speed criteria on its transmission line designs within approximately 50 miles of the coast.  From there, the wind speed design criteria drops down to 100 mph, and eventually to the standard 90 mph criteria for </w:t>
      </w:r>
      <w:r w:rsidR="004B33AC">
        <w:rPr>
          <w:szCs w:val="24"/>
        </w:rPr>
        <w:t xml:space="preserve">the Company’s </w:t>
      </w:r>
      <w:r w:rsidRPr="00BA009F">
        <w:rPr>
          <w:szCs w:val="24"/>
        </w:rPr>
        <w:t>non-coastal footprint.</w:t>
      </w:r>
    </w:p>
    <w:p w14:paraId="4EB037CF" w14:textId="2115687D" w:rsidR="00BA009F" w:rsidRPr="00BA009F" w:rsidRDefault="00BA009F" w:rsidP="00BA009F">
      <w:pPr>
        <w:ind w:left="1440" w:firstLine="0"/>
        <w:rPr>
          <w:szCs w:val="24"/>
        </w:rPr>
      </w:pPr>
      <w:r w:rsidRPr="00BA009F">
        <w:rPr>
          <w:szCs w:val="24"/>
        </w:rPr>
        <w:t xml:space="preserve">AEP implemented these transmission line design specifications approximately 20 years ago, specifically to improve system resiliency to adverse weather.  The transmission lines that sustained significant damage during Hurricane Harvey were built prior to the </w:t>
      </w:r>
      <w:r w:rsidR="004B33AC">
        <w:rPr>
          <w:szCs w:val="24"/>
        </w:rPr>
        <w:t xml:space="preserve">implementation of </w:t>
      </w:r>
      <w:r w:rsidRPr="00BA009F">
        <w:rPr>
          <w:szCs w:val="24"/>
        </w:rPr>
        <w:t xml:space="preserve">current design standards, and </w:t>
      </w:r>
      <w:r w:rsidR="004B33AC">
        <w:rPr>
          <w:szCs w:val="24"/>
        </w:rPr>
        <w:t xml:space="preserve">these </w:t>
      </w:r>
      <w:r w:rsidRPr="00BA009F">
        <w:rPr>
          <w:szCs w:val="24"/>
        </w:rPr>
        <w:t xml:space="preserve">lines are included in </w:t>
      </w:r>
      <w:r w:rsidR="004B33AC">
        <w:rPr>
          <w:szCs w:val="24"/>
        </w:rPr>
        <w:t xml:space="preserve">the Company’s </w:t>
      </w:r>
      <w:r w:rsidRPr="00BA009F">
        <w:rPr>
          <w:szCs w:val="24"/>
        </w:rPr>
        <w:t xml:space="preserve">plan for future rebuild to </w:t>
      </w:r>
      <w:r w:rsidR="004B33AC">
        <w:rPr>
          <w:szCs w:val="24"/>
        </w:rPr>
        <w:t xml:space="preserve">AEP’s </w:t>
      </w:r>
      <w:r w:rsidRPr="00BA009F">
        <w:rPr>
          <w:szCs w:val="24"/>
        </w:rPr>
        <w:t>current standards.</w:t>
      </w:r>
    </w:p>
    <w:p w14:paraId="5959E44D" w14:textId="77777777" w:rsidR="001C0CA9" w:rsidRDefault="001C0CA9" w:rsidP="00CB0394">
      <w:pPr>
        <w:ind w:left="1440"/>
        <w:rPr>
          <w:b/>
          <w:u w:val="single"/>
        </w:rPr>
      </w:pPr>
    </w:p>
    <w:p w14:paraId="68985196" w14:textId="77777777" w:rsidR="00CB0394" w:rsidRPr="00CB0394" w:rsidRDefault="00CB0394" w:rsidP="00CB0394">
      <w:pPr>
        <w:ind w:left="1440"/>
        <w:rPr>
          <w:b/>
          <w:u w:val="single"/>
        </w:rPr>
      </w:pPr>
      <w:r w:rsidRPr="00CB0394">
        <w:rPr>
          <w:b/>
          <w:u w:val="single"/>
        </w:rPr>
        <w:t>CNP Response:</w:t>
      </w:r>
    </w:p>
    <w:p w14:paraId="367ECBBF" w14:textId="77777777" w:rsidR="00CB0394" w:rsidRPr="00CB0394" w:rsidRDefault="00CB0394" w:rsidP="00CB0394">
      <w:pPr>
        <w:spacing w:after="200" w:line="276" w:lineRule="auto"/>
        <w:ind w:left="1440" w:firstLine="0"/>
        <w:rPr>
          <w:color w:val="000000" w:themeColor="text1"/>
        </w:rPr>
      </w:pPr>
      <w:r w:rsidRPr="00CB0394">
        <w:rPr>
          <w:color w:val="000000" w:themeColor="text1"/>
        </w:rPr>
        <w:t>Harvey was a flooding event for CNP.  In response to Allison, numerous flood hardening activities were implemented that had a positive impact during Harvey.</w:t>
      </w:r>
    </w:p>
    <w:p w14:paraId="395B3993" w14:textId="77777777" w:rsidR="00CB0394" w:rsidRPr="00CB0394" w:rsidRDefault="00CB0394" w:rsidP="00CB0394">
      <w:pPr>
        <w:pStyle w:val="ListParagraph"/>
        <w:numPr>
          <w:ilvl w:val="0"/>
          <w:numId w:val="19"/>
        </w:numPr>
        <w:spacing w:after="200" w:line="276" w:lineRule="auto"/>
        <w:rPr>
          <w:color w:val="000000" w:themeColor="text1"/>
        </w:rPr>
      </w:pPr>
      <w:r w:rsidRPr="00CB0394">
        <w:rPr>
          <w:color w:val="000000" w:themeColor="text1"/>
        </w:rPr>
        <w:t>CNP installed permanent concrete flood walls at two substations in the TMC and HDD areas.  The substation in the TMC area would have been impacted by Harvey flooding.</w:t>
      </w:r>
    </w:p>
    <w:p w14:paraId="7BBC9869" w14:textId="77777777" w:rsidR="00CB0394" w:rsidRPr="00CB0394" w:rsidRDefault="00CB0394" w:rsidP="00CB0394">
      <w:pPr>
        <w:pStyle w:val="ListParagraph"/>
        <w:numPr>
          <w:ilvl w:val="0"/>
          <w:numId w:val="19"/>
        </w:numPr>
        <w:spacing w:after="200" w:line="276" w:lineRule="auto"/>
        <w:rPr>
          <w:color w:val="000000" w:themeColor="text1"/>
        </w:rPr>
      </w:pPr>
      <w:r w:rsidRPr="00CB0394">
        <w:rPr>
          <w:color w:val="000000" w:themeColor="text1"/>
        </w:rPr>
        <w:t>The TMC installed flood gates and encouraged their member institutions to relocate customer owned, electrical service facilities located in building basements to a minimum elevation of one foot above the 500-year flood plain.  In conjunction with these activities, CNP relocated dedicated underground vaults to the same minimum elevation.  CNP also modified the system configuration so that elevated services would not be impacted by non-elevated (i.e. flooded) services.  Where system reconfiguration was not possible, CNP installed isolation switch rooms to isolate flood prone facilities from elevated facilities.</w:t>
      </w:r>
    </w:p>
    <w:p w14:paraId="0D2FF673" w14:textId="77777777" w:rsidR="00CB0394" w:rsidRPr="00CB0394" w:rsidRDefault="00CB0394" w:rsidP="00CB0394">
      <w:pPr>
        <w:pStyle w:val="ListParagraph"/>
        <w:numPr>
          <w:ilvl w:val="0"/>
          <w:numId w:val="19"/>
        </w:numPr>
        <w:spacing w:after="200" w:line="276" w:lineRule="auto"/>
        <w:rPr>
          <w:color w:val="000000" w:themeColor="text1"/>
        </w:rPr>
      </w:pPr>
      <w:r w:rsidRPr="00CB0394">
        <w:rPr>
          <w:color w:val="000000" w:themeColor="text1"/>
        </w:rPr>
        <w:t>The HDD installed flood gates in at least a portion of the downtown tunnel system.  Building services, and CNP facilities, were impacted by tunnel flooding during Allison.</w:t>
      </w:r>
    </w:p>
    <w:p w14:paraId="040E4876" w14:textId="77777777" w:rsidR="00CB0394" w:rsidRPr="00CB0394" w:rsidRDefault="00CB0394" w:rsidP="00CB0394">
      <w:pPr>
        <w:pStyle w:val="ListParagraph"/>
        <w:numPr>
          <w:ilvl w:val="0"/>
          <w:numId w:val="19"/>
        </w:numPr>
        <w:spacing w:after="200" w:line="276" w:lineRule="auto"/>
        <w:rPr>
          <w:color w:val="000000" w:themeColor="text1"/>
        </w:rPr>
      </w:pPr>
      <w:r w:rsidRPr="00CB0394">
        <w:rPr>
          <w:color w:val="000000" w:themeColor="text1"/>
        </w:rPr>
        <w:t>CNP increased the utilization of submersible equipment in the construction and rehab of dedicated underground vaults.</w:t>
      </w:r>
    </w:p>
    <w:p w14:paraId="32FE9090" w14:textId="77777777" w:rsidR="00CB0394" w:rsidRDefault="00CB0394" w:rsidP="00CB0394">
      <w:pPr>
        <w:ind w:left="1440" w:firstLine="0"/>
        <w:rPr>
          <w:color w:val="000000" w:themeColor="text1"/>
        </w:rPr>
      </w:pPr>
      <w:r w:rsidRPr="00CB0394">
        <w:rPr>
          <w:color w:val="000000" w:themeColor="text1"/>
        </w:rPr>
        <w:t>Based on the Harvey flooding, the above resiliency efforts kept 105 of CNP’s dedicated underground vaults from being impacted.  In addition, the use of submersible equipment allowed 59 of 83 impacted dedicated underground vaults to be restored by just drying out the equipment (i.e. no necessary repairs).</w:t>
      </w:r>
    </w:p>
    <w:p w14:paraId="6AFCB8E7" w14:textId="77777777" w:rsidR="00C713E4" w:rsidRDefault="00C713E4" w:rsidP="00C713E4">
      <w:pPr>
        <w:ind w:left="720" w:firstLine="0"/>
        <w:rPr>
          <w:b/>
          <w:u w:val="single"/>
        </w:rPr>
      </w:pPr>
    </w:p>
    <w:p w14:paraId="7C4E78E4" w14:textId="77777777" w:rsidR="00C713E4" w:rsidRDefault="00C713E4" w:rsidP="00C713E4">
      <w:pPr>
        <w:ind w:left="720" w:firstLine="0"/>
        <w:rPr>
          <w:b/>
          <w:u w:val="single"/>
        </w:rPr>
      </w:pPr>
      <w:r w:rsidRPr="00CB0394">
        <w:rPr>
          <w:b/>
          <w:u w:val="single"/>
        </w:rPr>
        <w:t>LCRA TSC Response:</w:t>
      </w:r>
    </w:p>
    <w:p w14:paraId="6980B025" w14:textId="77777777" w:rsidR="00C713E4" w:rsidRDefault="00C713E4" w:rsidP="00C713E4">
      <w:pPr>
        <w:ind w:left="1440" w:firstLine="0"/>
      </w:pPr>
      <w:r>
        <w:t xml:space="preserve">For the past five years, LCRA TSC has been performing storm hardening/mitigation planning.   As a result, LCRA TSC was well prepared for the possibility of a major storm hitting the Texas coast.   LCRA TSC facilities along the coast performed well during the Hurricane Harvey event.  LCRA TSC has not changed its storm hardening measures due to Hurricane Harvey.  </w:t>
      </w:r>
    </w:p>
    <w:p w14:paraId="08F27C3F" w14:textId="77777777" w:rsidR="000D1764" w:rsidRDefault="000D1764" w:rsidP="002C16C3">
      <w:pPr>
        <w:ind w:firstLine="720"/>
        <w:rPr>
          <w:b/>
          <w:u w:val="single"/>
        </w:rPr>
      </w:pPr>
    </w:p>
    <w:p w14:paraId="59953994" w14:textId="40C0FC81" w:rsidR="002C16C3" w:rsidRPr="002C16C3" w:rsidRDefault="002C16C3" w:rsidP="002C16C3">
      <w:pPr>
        <w:ind w:firstLine="720"/>
        <w:rPr>
          <w:b/>
          <w:u w:val="single"/>
        </w:rPr>
      </w:pPr>
      <w:r>
        <w:rPr>
          <w:b/>
          <w:u w:val="single"/>
        </w:rPr>
        <w:t xml:space="preserve">Sharyland </w:t>
      </w:r>
      <w:r w:rsidRPr="0090142A">
        <w:rPr>
          <w:b/>
          <w:u w:val="single"/>
        </w:rPr>
        <w:t>Response</w:t>
      </w:r>
      <w:r w:rsidRPr="0090142A">
        <w:t>:</w:t>
      </w:r>
    </w:p>
    <w:p w14:paraId="4CCEC18D" w14:textId="76CCA301" w:rsidR="00C713E4" w:rsidRPr="002C16C3" w:rsidRDefault="002C16C3" w:rsidP="002C16C3">
      <w:pPr>
        <w:tabs>
          <w:tab w:val="left" w:pos="2250"/>
        </w:tabs>
        <w:ind w:left="1440" w:firstLine="0"/>
      </w:pPr>
      <w:r w:rsidRPr="002C16C3">
        <w:t>Sharyland Utilities’ transmission facilities</w:t>
      </w:r>
      <w:r w:rsidR="00DE626C" w:rsidRPr="00DE626C">
        <w:t xml:space="preserve"> </w:t>
      </w:r>
      <w:r w:rsidR="00DE626C" w:rsidRPr="002C16C3">
        <w:t>in the Brownsville area of the Lower Rio Grande Valley</w:t>
      </w:r>
      <w:r w:rsidRPr="002C16C3">
        <w:t xml:space="preserve"> were not impacted by Hurricane Harvey.  Sharyland’s transmission line facilities </w:t>
      </w:r>
      <w:r w:rsidR="00DE626C">
        <w:t>in the area</w:t>
      </w:r>
      <w:r w:rsidRPr="002C16C3">
        <w:t xml:space="preserve"> are designed using the 140 mph wind speed criteria as per NESC 250C.  For increased reliability, a load factor of 1.1 was applied to the high wind loads, which exceeds the NESC minimum of 1.0.</w:t>
      </w:r>
      <w:r w:rsidR="00DE626C" w:rsidRPr="00DE626C">
        <w:t xml:space="preserve"> </w:t>
      </w:r>
      <w:r w:rsidR="00DE626C">
        <w:t xml:space="preserve"> The </w:t>
      </w:r>
      <w:r w:rsidR="00DE626C" w:rsidRPr="002C16C3">
        <w:t>control house</w:t>
      </w:r>
      <w:r w:rsidR="00DE626C">
        <w:t>s</w:t>
      </w:r>
      <w:r w:rsidR="00DE626C" w:rsidRPr="002C16C3">
        <w:t xml:space="preserve"> and other major equipment </w:t>
      </w:r>
      <w:r w:rsidR="00DE626C">
        <w:t xml:space="preserve">are </w:t>
      </w:r>
      <w:r w:rsidR="00DE626C" w:rsidRPr="002C16C3">
        <w:t>above the 100-year flood elevation of 13 feet above sea level</w:t>
      </w:r>
      <w:r w:rsidR="00667226">
        <w:t xml:space="preserve"> that existed at the time of design</w:t>
      </w:r>
      <w:r w:rsidR="00DE626C" w:rsidRPr="002C16C3">
        <w:t>.</w:t>
      </w:r>
      <w:r w:rsidR="00DE626C">
        <w:t xml:space="preserve">  </w:t>
      </w:r>
      <w:r w:rsidR="00DE626C" w:rsidRPr="002C16C3">
        <w:t xml:space="preserve">Grading for </w:t>
      </w:r>
      <w:r w:rsidR="00DE626C">
        <w:t xml:space="preserve">the </w:t>
      </w:r>
      <w:r w:rsidR="00DE626C" w:rsidRPr="002C16C3">
        <w:t>substation site</w:t>
      </w:r>
      <w:r w:rsidR="00DE626C">
        <w:t>s</w:t>
      </w:r>
      <w:r w:rsidR="00DE626C" w:rsidRPr="002C16C3">
        <w:t xml:space="preserve"> </w:t>
      </w:r>
      <w:r w:rsidR="00DE626C">
        <w:t xml:space="preserve">is </w:t>
      </w:r>
      <w:r w:rsidR="00DE626C" w:rsidRPr="002C16C3">
        <w:t>designed such that site drainage may be achieved through the use of surface runoff</w:t>
      </w:r>
      <w:r w:rsidR="00DE626C" w:rsidRPr="006701B1">
        <w:t xml:space="preserve">.  The substation pads are engineered utilizing the 25-year storm interval.  In the event a station is impacted by a storm with a recurring interval greater than 25 years, the station pad is engineered to flood.  </w:t>
      </w:r>
      <w:r w:rsidR="00DE626C" w:rsidRPr="002C16C3">
        <w:t>The site surface runoff drainage design use</w:t>
      </w:r>
      <w:r w:rsidR="00DE626C">
        <w:t>s</w:t>
      </w:r>
      <w:r w:rsidR="00DE626C" w:rsidRPr="002C16C3">
        <w:t xml:space="preserve"> a minimum slope of 1/150, or 0.67%.</w:t>
      </w:r>
    </w:p>
    <w:p w14:paraId="32E40F72" w14:textId="77777777" w:rsidR="000A5821" w:rsidRPr="00555CF1" w:rsidRDefault="000A5821" w:rsidP="000F1770">
      <w:pPr>
        <w:ind w:firstLine="0"/>
      </w:pPr>
    </w:p>
    <w:p w14:paraId="72315E5B" w14:textId="77777777" w:rsidR="00021913" w:rsidRDefault="00021913" w:rsidP="00DE626C">
      <w:pPr>
        <w:pStyle w:val="Heading2"/>
        <w:ind w:left="810"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Describe the steps that you have taken or plan to take in response to wind damage from Hurricane Harvey, in order to reduce the risk of wind damage to your facilities in the future.</w:t>
      </w:r>
    </w:p>
    <w:p w14:paraId="6AFDB002" w14:textId="77777777" w:rsidR="00C713E4" w:rsidRDefault="00C713E4" w:rsidP="0024392D">
      <w:pPr>
        <w:ind w:firstLine="720"/>
        <w:rPr>
          <w:b/>
          <w:u w:val="single"/>
        </w:rPr>
      </w:pPr>
    </w:p>
    <w:p w14:paraId="0AF9D05A" w14:textId="77777777" w:rsidR="00980B1B" w:rsidRDefault="00980B1B" w:rsidP="0024392D">
      <w:pPr>
        <w:ind w:firstLine="720"/>
        <w:rPr>
          <w:b/>
          <w:u w:val="single"/>
        </w:rPr>
      </w:pPr>
    </w:p>
    <w:p w14:paraId="21562CBF" w14:textId="77777777" w:rsidR="00555CF1" w:rsidRPr="00C348F2" w:rsidRDefault="00555CF1" w:rsidP="0024392D">
      <w:pPr>
        <w:ind w:firstLine="720"/>
      </w:pPr>
      <w:r w:rsidRPr="00C348F2">
        <w:rPr>
          <w:b/>
          <w:u w:val="single"/>
        </w:rPr>
        <w:t>ETI Response</w:t>
      </w:r>
      <w:r w:rsidRPr="00C348F2">
        <w:t>:</w:t>
      </w:r>
    </w:p>
    <w:p w14:paraId="01FF6425" w14:textId="77777777" w:rsidR="00555CF1" w:rsidRDefault="00101B4C" w:rsidP="0024392D">
      <w:pPr>
        <w:ind w:left="1440" w:firstLine="0"/>
      </w:pPr>
      <w:r w:rsidRPr="00C348F2">
        <w:t xml:space="preserve">For ETI’s service territory, </w:t>
      </w:r>
      <w:r w:rsidR="00555CF1" w:rsidRPr="00C348F2">
        <w:t xml:space="preserve">Harvey was primarily a flooding event.  </w:t>
      </w:r>
      <w:r w:rsidRPr="00C348F2">
        <w:t>ETI does not plan to change its storm hardening strategies in regard to wind events (as described in section II.A. above)</w:t>
      </w:r>
      <w:r w:rsidR="00555CF1" w:rsidRPr="00C348F2">
        <w:t>.</w:t>
      </w:r>
    </w:p>
    <w:p w14:paraId="4DED787A" w14:textId="77777777" w:rsidR="002C5BB3" w:rsidRDefault="002C5BB3" w:rsidP="00795BCC">
      <w:pPr>
        <w:ind w:left="720" w:firstLine="0"/>
        <w:rPr>
          <w:b/>
          <w:u w:val="single"/>
        </w:rPr>
      </w:pPr>
      <w:bookmarkStart w:id="1" w:name="_Hlk515528110"/>
    </w:p>
    <w:p w14:paraId="3DB1A13B" w14:textId="11A8EF41" w:rsidR="00795BCC" w:rsidRPr="00795BCC" w:rsidRDefault="00795BCC" w:rsidP="00795BCC">
      <w:pPr>
        <w:ind w:left="720" w:firstLine="0"/>
      </w:pPr>
      <w:r w:rsidRPr="00795BCC">
        <w:rPr>
          <w:b/>
          <w:u w:val="single"/>
        </w:rPr>
        <w:t>TNMP Response</w:t>
      </w:r>
      <w:r>
        <w:rPr>
          <w:b/>
        </w:rPr>
        <w:t>:</w:t>
      </w:r>
    </w:p>
    <w:p w14:paraId="62831A58" w14:textId="77777777" w:rsidR="00795BCC" w:rsidRDefault="00795BCC" w:rsidP="00795BCC">
      <w:pPr>
        <w:ind w:left="1440" w:firstLine="0"/>
      </w:pPr>
      <w:r>
        <w:t>For TNMP</w:t>
      </w:r>
      <w:r w:rsidRPr="0000215D">
        <w:t xml:space="preserve"> Harvey was primarily a flooding event</w:t>
      </w:r>
      <w:r>
        <w:t xml:space="preserve"> so TNMP does not expect to change any plans related to wind damage.</w:t>
      </w:r>
    </w:p>
    <w:p w14:paraId="2A33C1CE" w14:textId="77777777" w:rsidR="002C5BB3" w:rsidRDefault="002C5BB3" w:rsidP="009F35BB">
      <w:pPr>
        <w:ind w:left="720" w:firstLine="0"/>
        <w:rPr>
          <w:b/>
          <w:u w:val="single"/>
        </w:rPr>
      </w:pPr>
    </w:p>
    <w:p w14:paraId="5C8E577C" w14:textId="77777777" w:rsidR="002C5BB3" w:rsidRDefault="00F32F7E" w:rsidP="009F35BB">
      <w:pPr>
        <w:ind w:left="720" w:firstLine="0"/>
        <w:rPr>
          <w:b/>
          <w:u w:val="single"/>
        </w:rPr>
      </w:pPr>
      <w:r w:rsidRPr="00F32F7E">
        <w:rPr>
          <w:b/>
          <w:u w:val="single"/>
        </w:rPr>
        <w:t>AEP Texas Distribution Response:</w:t>
      </w:r>
    </w:p>
    <w:p w14:paraId="5A967E81" w14:textId="33F23A7F" w:rsidR="00F32F7E" w:rsidRPr="00F32F7E" w:rsidRDefault="009F35BB" w:rsidP="009F35BB">
      <w:pPr>
        <w:ind w:left="720" w:firstLine="0"/>
      </w:pPr>
      <w:r w:rsidRPr="009F35BB">
        <w:t xml:space="preserve">Hurricane Harvey was the first Category 4 hurricane to make landfall on the Texas coast in 56 years.  The scope and scale of the damage sustained in the AEP Texas service area was unprecedented in the Company’s history.  AEP Texas continues to review its distribution system hardening philosophy, specifically considering the actual wind speeds experienced during Hurricane Harvey, to determine whether updates to </w:t>
      </w:r>
      <w:r w:rsidR="004B33AC">
        <w:t xml:space="preserve">the Company’s </w:t>
      </w:r>
      <w:r w:rsidRPr="009F35BB">
        <w:t>current system hardening policies and procedures are appropriate.  Similarly, AEP Texas will include Hurricane Harvey wind profiles in the distribution system damage prediction modeling tool to continue to support the Company’s ongoing model validation process.</w:t>
      </w:r>
    </w:p>
    <w:p w14:paraId="5A800137" w14:textId="77777777" w:rsidR="00F32F7E" w:rsidRPr="00F32F7E" w:rsidRDefault="00F32F7E" w:rsidP="00F32F7E">
      <w:pPr>
        <w:ind w:left="1440" w:firstLine="0"/>
        <w:rPr>
          <w:rFonts w:ascii="Calibri" w:eastAsia="Calibri" w:hAnsi="Calibri" w:cs="Times New Roman"/>
          <w:sz w:val="28"/>
          <w:szCs w:val="28"/>
        </w:rPr>
      </w:pPr>
    </w:p>
    <w:p w14:paraId="3ED2DB15" w14:textId="77777777" w:rsidR="002C5BB3" w:rsidRDefault="00F32F7E" w:rsidP="00F32F7E">
      <w:pPr>
        <w:ind w:left="720" w:firstLine="0"/>
        <w:rPr>
          <w:b/>
          <w:u w:val="single"/>
        </w:rPr>
      </w:pPr>
      <w:r w:rsidRPr="00F32F7E">
        <w:rPr>
          <w:b/>
          <w:u w:val="single"/>
        </w:rPr>
        <w:t>AEP Texas Transmission Response:</w:t>
      </w:r>
    </w:p>
    <w:p w14:paraId="7BBB7976" w14:textId="3A2B98CF" w:rsidR="00F32F7E" w:rsidRPr="00F32F7E" w:rsidRDefault="00F32F7E" w:rsidP="00F32F7E">
      <w:pPr>
        <w:ind w:left="720" w:firstLine="0"/>
      </w:pPr>
      <w:r w:rsidRPr="00F32F7E">
        <w:t xml:space="preserve">AEP Texas Transmission has taken steps to </w:t>
      </w:r>
      <w:r w:rsidR="009F35BB">
        <w:t>improve</w:t>
      </w:r>
      <w:r w:rsidR="009F35BB" w:rsidRPr="00F32F7E">
        <w:t xml:space="preserve"> </w:t>
      </w:r>
      <w:r w:rsidRPr="00F32F7E">
        <w:t>resilience and to promote effective and efficient restoration including</w:t>
      </w:r>
      <w:r>
        <w:t>:</w:t>
      </w:r>
    </w:p>
    <w:p w14:paraId="622FA5F1" w14:textId="77777777" w:rsidR="00F32F7E" w:rsidRPr="00F32F7E" w:rsidRDefault="00F32F7E" w:rsidP="00F32F7E">
      <w:pPr>
        <w:pStyle w:val="ListParagraph"/>
        <w:numPr>
          <w:ilvl w:val="0"/>
          <w:numId w:val="29"/>
        </w:numPr>
      </w:pPr>
      <w:r w:rsidRPr="00F32F7E">
        <w:t>Developed a model for damage/outage prediction during hurricanes using data from its transmission line databases and data provided by the National Hurricane Center</w:t>
      </w:r>
    </w:p>
    <w:p w14:paraId="58FDF4FA" w14:textId="77777777" w:rsidR="00F32F7E" w:rsidRPr="00F32F7E" w:rsidRDefault="00F32F7E" w:rsidP="00F32F7E">
      <w:pPr>
        <w:pStyle w:val="ListParagraph"/>
        <w:numPr>
          <w:ilvl w:val="0"/>
          <w:numId w:val="29"/>
        </w:numPr>
      </w:pPr>
      <w:r w:rsidRPr="00F32F7E">
        <w:t>Utilized emergency patrols for transmission damage assessment and considering potential updates to current processes and tools</w:t>
      </w:r>
    </w:p>
    <w:p w14:paraId="21AC0047" w14:textId="77777777" w:rsidR="00F32F7E" w:rsidRPr="00F32F7E" w:rsidRDefault="00F32F7E" w:rsidP="00F32F7E">
      <w:pPr>
        <w:pStyle w:val="ListParagraph"/>
        <w:numPr>
          <w:ilvl w:val="0"/>
          <w:numId w:val="29"/>
        </w:numPr>
      </w:pPr>
      <w:r w:rsidRPr="00F32F7E">
        <w:t>See above modern design standards, and associated resilience improvement</w:t>
      </w:r>
    </w:p>
    <w:p w14:paraId="5E935505" w14:textId="77777777" w:rsidR="00F32F7E" w:rsidRDefault="00F32F7E" w:rsidP="00CB0394">
      <w:pPr>
        <w:ind w:left="1440"/>
        <w:rPr>
          <w:b/>
          <w:u w:val="single"/>
        </w:rPr>
      </w:pPr>
    </w:p>
    <w:p w14:paraId="5531879E" w14:textId="77777777" w:rsidR="00CB0394" w:rsidRPr="006C45F1" w:rsidRDefault="00CB0394" w:rsidP="00CB0394">
      <w:pPr>
        <w:ind w:left="1440"/>
        <w:rPr>
          <w:b/>
        </w:rPr>
      </w:pPr>
      <w:r w:rsidRPr="00CB0394">
        <w:rPr>
          <w:b/>
          <w:u w:val="single"/>
        </w:rPr>
        <w:t>CNP Response</w:t>
      </w:r>
      <w:r w:rsidRPr="006C45F1">
        <w:rPr>
          <w:b/>
        </w:rPr>
        <w:t>:</w:t>
      </w:r>
    </w:p>
    <w:p w14:paraId="682C9A54" w14:textId="77777777" w:rsidR="00CB0394" w:rsidRPr="00CB0394" w:rsidRDefault="00CB0394" w:rsidP="00CB0394">
      <w:pPr>
        <w:ind w:left="1440" w:firstLine="0"/>
      </w:pPr>
      <w:r w:rsidRPr="00CB0394">
        <w:t>While Harvey was not a “wind damage” event for CNP’s service territory, CNP does have transmission, substation and distribution hardening activities in place.  These activities are largely described in the following documents.</w:t>
      </w:r>
    </w:p>
    <w:p w14:paraId="122971DE" w14:textId="77777777" w:rsidR="00CB0394" w:rsidRPr="00CB0394" w:rsidRDefault="00CB0394" w:rsidP="00CB0394">
      <w:pPr>
        <w:pStyle w:val="ListParagraph"/>
        <w:numPr>
          <w:ilvl w:val="0"/>
          <w:numId w:val="20"/>
        </w:numPr>
      </w:pPr>
      <w:r w:rsidRPr="00CB0394">
        <w:t>P.U.C. Subst. R. 25.94 (Project 38068)</w:t>
      </w:r>
    </w:p>
    <w:p w14:paraId="5B0213F5" w14:textId="77777777" w:rsidR="00CB0394" w:rsidRPr="00CB0394" w:rsidRDefault="00CB0394" w:rsidP="00CB0394">
      <w:pPr>
        <w:pStyle w:val="ListParagraph"/>
        <w:numPr>
          <w:ilvl w:val="0"/>
          <w:numId w:val="20"/>
        </w:numPr>
      </w:pPr>
      <w:r w:rsidRPr="00CB0394">
        <w:t>P.U.C. Subst. R. 25.95 (Project 39339)</w:t>
      </w:r>
    </w:p>
    <w:p w14:paraId="79C494B0" w14:textId="77777777" w:rsidR="00CB0394" w:rsidRDefault="00CB0394" w:rsidP="00CB0394">
      <w:pPr>
        <w:ind w:left="1440" w:firstLine="0"/>
      </w:pPr>
      <w:r w:rsidRPr="00CB0394">
        <w:t xml:space="preserve">In addition, CNP is evaluating additional opportunities to improve grid resiliency in all operating areas. </w:t>
      </w:r>
    </w:p>
    <w:p w14:paraId="0589195B" w14:textId="77777777" w:rsidR="00C713E4" w:rsidRDefault="00C713E4" w:rsidP="00C713E4">
      <w:pPr>
        <w:ind w:left="720" w:firstLine="0"/>
        <w:rPr>
          <w:b/>
          <w:u w:val="single"/>
        </w:rPr>
      </w:pPr>
    </w:p>
    <w:p w14:paraId="779E5D72" w14:textId="77777777" w:rsidR="00C713E4" w:rsidRDefault="00C713E4" w:rsidP="00C713E4">
      <w:pPr>
        <w:ind w:left="720" w:firstLine="0"/>
        <w:rPr>
          <w:b/>
          <w:u w:val="single"/>
        </w:rPr>
      </w:pPr>
      <w:r w:rsidRPr="00CB0394">
        <w:rPr>
          <w:b/>
          <w:u w:val="single"/>
        </w:rPr>
        <w:t>LCRA TSC Response:</w:t>
      </w:r>
    </w:p>
    <w:p w14:paraId="1173D0C2" w14:textId="77777777" w:rsidR="00C713E4" w:rsidRPr="00306937" w:rsidRDefault="00C713E4" w:rsidP="00C713E4">
      <w:pPr>
        <w:ind w:left="1440" w:firstLine="0"/>
        <w:rPr>
          <w:i/>
          <w:iCs/>
          <w:szCs w:val="24"/>
        </w:rPr>
      </w:pPr>
      <w:r w:rsidRPr="00306937">
        <w:t xml:space="preserve">Based on the minimal amount of damage seen during the Hurricane Harvey event, LCRA TSC is not adjusting its current design standards in the coastal area.  Substation structures are designed according to </w:t>
      </w:r>
      <w:r w:rsidR="00A61C49">
        <w:t xml:space="preserve">LCRA TSC’s </w:t>
      </w:r>
      <w:r w:rsidRPr="00306937">
        <w:t>L 4300 - Substation Structural Engineering Design Criteria.  Wind loads shall be determined from ASCE 7, Minimum Design Loads for Building and Other Structures.</w:t>
      </w:r>
    </w:p>
    <w:p w14:paraId="231C5D26" w14:textId="77777777" w:rsidR="00C713E4" w:rsidRDefault="00C713E4" w:rsidP="00C713E4">
      <w:pPr>
        <w:ind w:left="1440" w:firstLine="0"/>
      </w:pPr>
      <w:r w:rsidRPr="00306937">
        <w:t>Heinz substation is a new s</w:t>
      </w:r>
      <w:r w:rsidR="00A61C49">
        <w:t>tation that will</w:t>
      </w:r>
      <w:r w:rsidR="00DE626C">
        <w:t xml:space="preserve"> be</w:t>
      </w:r>
      <w:r w:rsidR="00A61C49">
        <w:t xml:space="preserve"> constructed in close proximity </w:t>
      </w:r>
      <w:r w:rsidRPr="00306937">
        <w:t>to the coast.  Heinz substation equipment will be lifted on piers to mitigate flooding due to storm surge and designed to withstand the wind loads in the Corpus Christi Area.</w:t>
      </w:r>
    </w:p>
    <w:p w14:paraId="122E36E6" w14:textId="3FB31601" w:rsidR="002C16C3" w:rsidRDefault="002C16C3" w:rsidP="002C16C3">
      <w:pPr>
        <w:ind w:firstLine="720"/>
      </w:pPr>
      <w:r>
        <w:rPr>
          <w:b/>
          <w:u w:val="single"/>
        </w:rPr>
        <w:t xml:space="preserve">Sharyland </w:t>
      </w:r>
      <w:r w:rsidRPr="0090142A">
        <w:rPr>
          <w:b/>
          <w:u w:val="single"/>
        </w:rPr>
        <w:t>Response</w:t>
      </w:r>
      <w:r w:rsidRPr="0090142A">
        <w:t>:</w:t>
      </w:r>
    </w:p>
    <w:p w14:paraId="11FCE2F5" w14:textId="77777777" w:rsidR="002C16C3" w:rsidRPr="002C16C3" w:rsidRDefault="002C16C3" w:rsidP="002C16C3">
      <w:pPr>
        <w:tabs>
          <w:tab w:val="left" w:pos="2250"/>
        </w:tabs>
        <w:ind w:left="1440" w:firstLine="0"/>
      </w:pPr>
      <w:r w:rsidRPr="002C16C3">
        <w:t xml:space="preserve">Sharyland Utilities </w:t>
      </w:r>
      <w:r w:rsidR="00DE626C">
        <w:t xml:space="preserve">did not incur wind damage </w:t>
      </w:r>
      <w:r w:rsidRPr="002C16C3">
        <w:t>as a result of Hurricane Harvey</w:t>
      </w:r>
      <w:r w:rsidR="00DE626C">
        <w:t>, and has not changed its storm hardening practices</w:t>
      </w:r>
      <w:r w:rsidR="00DE626C" w:rsidRPr="002C16C3">
        <w:t xml:space="preserve">.  </w:t>
      </w:r>
      <w:r w:rsidR="00DE626C">
        <w:t xml:space="preserve">Sharyland’s </w:t>
      </w:r>
      <w:r w:rsidRPr="002C16C3">
        <w:t xml:space="preserve">engineering and construction </w:t>
      </w:r>
      <w:r w:rsidR="00DE626C">
        <w:t>process</w:t>
      </w:r>
      <w:r w:rsidRPr="002C16C3">
        <w:t xml:space="preserve"> takes into account the area where the facilities are located and designs for that area</w:t>
      </w:r>
      <w:r w:rsidR="00DE626C">
        <w:t>, applying applicable standards at the time of design</w:t>
      </w:r>
      <w:r w:rsidR="00DE626C" w:rsidRPr="002C16C3">
        <w:t>.</w:t>
      </w:r>
      <w:r w:rsidR="00DE626C">
        <w:t xml:space="preserve">  Sharyland’s </w:t>
      </w:r>
      <w:r w:rsidR="00DE626C" w:rsidRPr="002C16C3">
        <w:t xml:space="preserve">transmission line facilities </w:t>
      </w:r>
      <w:r w:rsidR="00DE626C">
        <w:t xml:space="preserve">in the Brownsville area of the Lower Rio Grande Valley </w:t>
      </w:r>
      <w:r w:rsidR="00DE626C" w:rsidRPr="002C16C3">
        <w:t>are designed using the 140 mph wind speed criteria as per NESC 250C.  For increased reliability, a load factor of 1.1 was applied to the high wind loads, which exceeds the NESC minimum of 1.0</w:t>
      </w:r>
      <w:r w:rsidRPr="002C16C3">
        <w:t>.</w:t>
      </w:r>
    </w:p>
    <w:bookmarkEnd w:id="1"/>
    <w:p w14:paraId="2D9B9CD5" w14:textId="77777777" w:rsidR="00795BCC" w:rsidRPr="00C348F2" w:rsidRDefault="00795BCC" w:rsidP="00795BCC">
      <w:pPr>
        <w:ind w:firstLine="0"/>
      </w:pPr>
    </w:p>
    <w:p w14:paraId="45DC6A53" w14:textId="77777777" w:rsidR="00956367" w:rsidRDefault="00E52C60" w:rsidP="005D7206">
      <w:pPr>
        <w:pStyle w:val="Heading1"/>
        <w:ind w:hanging="720"/>
        <w:rPr>
          <w:rFonts w:ascii="Times New Roman" w:hAnsi="Times New Roman" w:cs="Times New Roman"/>
          <w:color w:val="auto"/>
          <w:sz w:val="24"/>
          <w:szCs w:val="24"/>
        </w:rPr>
      </w:pPr>
      <w:r w:rsidRPr="005D7206">
        <w:rPr>
          <w:rFonts w:ascii="Times New Roman" w:hAnsi="Times New Roman" w:cs="Times New Roman"/>
          <w:color w:val="auto"/>
          <w:sz w:val="24"/>
          <w:szCs w:val="24"/>
        </w:rPr>
        <w:t xml:space="preserve">Explain whether you </w:t>
      </w:r>
      <w:r w:rsidR="00956367" w:rsidRPr="005D7206">
        <w:rPr>
          <w:rFonts w:ascii="Times New Roman" w:hAnsi="Times New Roman" w:cs="Times New Roman"/>
          <w:color w:val="auto"/>
          <w:sz w:val="24"/>
          <w:szCs w:val="24"/>
        </w:rPr>
        <w:t>purchase facilities and materials (e.g. poles) in preparation for hurricane season.</w:t>
      </w:r>
    </w:p>
    <w:p w14:paraId="33E7CEEA" w14:textId="77777777" w:rsidR="005A1EFC" w:rsidRDefault="005A1EFC" w:rsidP="009D03A3">
      <w:pPr>
        <w:ind w:firstLine="0"/>
      </w:pPr>
    </w:p>
    <w:p w14:paraId="5EF9BBE6" w14:textId="01E9FF98" w:rsidR="0024392D" w:rsidRPr="00C348F2" w:rsidRDefault="009D03A3" w:rsidP="0024392D">
      <w:pPr>
        <w:ind w:left="720" w:firstLine="0"/>
      </w:pPr>
      <w:r w:rsidRPr="00C348F2">
        <w:rPr>
          <w:b/>
          <w:u w:val="single"/>
        </w:rPr>
        <w:t xml:space="preserve">ETI </w:t>
      </w:r>
      <w:r w:rsidR="00A81A28" w:rsidRPr="00C348F2">
        <w:rPr>
          <w:b/>
          <w:u w:val="single"/>
        </w:rPr>
        <w:t>Response</w:t>
      </w:r>
      <w:r w:rsidR="00A81A28" w:rsidRPr="00C348F2">
        <w:t>:</w:t>
      </w:r>
    </w:p>
    <w:p w14:paraId="2DAA5F0A" w14:textId="77777777" w:rsidR="005A1EFC" w:rsidRDefault="00795720" w:rsidP="0024392D">
      <w:pPr>
        <w:ind w:left="1440" w:firstLine="0"/>
      </w:pPr>
      <w:r w:rsidRPr="00C348F2">
        <w:t xml:space="preserve">Entergy </w:t>
      </w:r>
      <w:r w:rsidR="005A1EFC" w:rsidRPr="00C348F2">
        <w:t xml:space="preserve">maintains storm </w:t>
      </w:r>
      <w:r w:rsidR="00A81A28" w:rsidRPr="00C348F2">
        <w:t>kits</w:t>
      </w:r>
      <w:r w:rsidR="005A1EFC" w:rsidRPr="00C348F2">
        <w:t xml:space="preserve"> at </w:t>
      </w:r>
      <w:r w:rsidR="00A81A28" w:rsidRPr="00C348F2">
        <w:t xml:space="preserve">the Beaumont </w:t>
      </w:r>
      <w:r w:rsidR="005A1EFC" w:rsidRPr="00C348F2">
        <w:t xml:space="preserve">central distribution center for materials typically consumed during incident response.  </w:t>
      </w:r>
      <w:r w:rsidRPr="00C348F2">
        <w:t xml:space="preserve">In addition, Entergy has </w:t>
      </w:r>
      <w:r w:rsidR="00A81A28" w:rsidRPr="00C348F2">
        <w:t xml:space="preserve">storm kits at other State central distribution centers that can be transferred to ETI to supplement the storm material demands.   Entergy has </w:t>
      </w:r>
      <w:r w:rsidRPr="00C348F2">
        <w:t xml:space="preserve">supplier owned inventory agreements for additional supply </w:t>
      </w:r>
      <w:r w:rsidR="00A81A28" w:rsidRPr="00C348F2">
        <w:t xml:space="preserve">of </w:t>
      </w:r>
      <w:r w:rsidRPr="00C348F2">
        <w:t xml:space="preserve">storm </w:t>
      </w:r>
      <w:r w:rsidR="00A81A28" w:rsidRPr="00C348F2">
        <w:t xml:space="preserve">restoration </w:t>
      </w:r>
      <w:r w:rsidRPr="00C348F2">
        <w:t xml:space="preserve">material.   </w:t>
      </w:r>
      <w:r w:rsidR="00A81A28" w:rsidRPr="00C348F2">
        <w:t xml:space="preserve">In general, </w:t>
      </w:r>
      <w:r w:rsidRPr="00C348F2">
        <w:t>Entergy</w:t>
      </w:r>
      <w:r w:rsidR="005A1EFC" w:rsidRPr="00C348F2">
        <w:t xml:space="preserve"> does not purchase </w:t>
      </w:r>
      <w:r w:rsidRPr="00C348F2">
        <w:t xml:space="preserve">permanent </w:t>
      </w:r>
      <w:r w:rsidR="005A1EFC" w:rsidRPr="00C348F2">
        <w:t xml:space="preserve">facilities specifically for weather events.   </w:t>
      </w:r>
      <w:r w:rsidRPr="00C348F2">
        <w:t>Entergy</w:t>
      </w:r>
      <w:r w:rsidR="005A1EFC" w:rsidRPr="00C348F2">
        <w:t xml:space="preserve"> does engage </w:t>
      </w:r>
      <w:r w:rsidRPr="00C348F2">
        <w:t xml:space="preserve">with local available strategic space </w:t>
      </w:r>
      <w:r w:rsidR="00A81A28" w:rsidRPr="00C348F2">
        <w:t>for internal</w:t>
      </w:r>
      <w:r w:rsidRPr="00C348F2">
        <w:t xml:space="preserve"> and external resources staging sites and logistics service providers depending on the level of engagement and damages to infrastructure for temporary housing and catering services.</w:t>
      </w:r>
    </w:p>
    <w:p w14:paraId="7C0CDF77" w14:textId="77777777" w:rsidR="00C713E4" w:rsidRDefault="00C713E4" w:rsidP="00C713E4">
      <w:pPr>
        <w:ind w:firstLine="720"/>
        <w:rPr>
          <w:b/>
          <w:u w:val="single"/>
        </w:rPr>
      </w:pPr>
    </w:p>
    <w:p w14:paraId="14E5DA75" w14:textId="3B5D0748" w:rsidR="00795BCC" w:rsidRDefault="00795BCC" w:rsidP="00C713E4">
      <w:pPr>
        <w:ind w:firstLine="720"/>
        <w:rPr>
          <w:b/>
        </w:rPr>
      </w:pPr>
      <w:r w:rsidRPr="00795BCC">
        <w:rPr>
          <w:b/>
          <w:u w:val="single"/>
        </w:rPr>
        <w:t>TNMP Response</w:t>
      </w:r>
      <w:r w:rsidR="002C5BB3">
        <w:rPr>
          <w:b/>
          <w:u w:val="single"/>
        </w:rPr>
        <w:t>:</w:t>
      </w:r>
    </w:p>
    <w:p w14:paraId="50FA88A7" w14:textId="77777777" w:rsidR="00795BCC" w:rsidRDefault="00795BCC" w:rsidP="00795BCC">
      <w:pPr>
        <w:ind w:left="1440" w:firstLine="0"/>
      </w:pPr>
      <w:r>
        <w:t xml:space="preserve">TNMP does make purchases prior to storm season (usually during first quarter) and works with its integrated supplier to ensure common system materials will be on hand and available.  Distribution poles, cross-arms, transformers, fuses, insulators and other general equipment are inventoried at the Gulf Coast Region’s construction centers and then compared with desired storm stock and refilled as needed.  TNMP’s integrated supplier also puts on notice manufacturers of TNMP’s needs both prior to and during storm events and suppliers are positioned to respond accordingly.  TNMP’s integrated supplier operates a storm trailer that will arrive on scene shortly after an event to supplement and replace storm stock that was previously on hand. </w:t>
      </w:r>
    </w:p>
    <w:p w14:paraId="365959D1" w14:textId="77777777" w:rsidR="00C713E4" w:rsidRDefault="00C713E4" w:rsidP="000F1770">
      <w:pPr>
        <w:ind w:left="1440"/>
        <w:rPr>
          <w:b/>
          <w:szCs w:val="24"/>
          <w:u w:val="single"/>
        </w:rPr>
      </w:pPr>
    </w:p>
    <w:p w14:paraId="1CD77707" w14:textId="26BB020A" w:rsidR="000F1770" w:rsidRPr="000F1770" w:rsidRDefault="000F1770" w:rsidP="000F1770">
      <w:pPr>
        <w:ind w:left="1440"/>
        <w:rPr>
          <w:b/>
          <w:szCs w:val="24"/>
          <w:u w:val="single"/>
        </w:rPr>
      </w:pPr>
      <w:r w:rsidRPr="000F1770">
        <w:rPr>
          <w:b/>
          <w:szCs w:val="24"/>
          <w:u w:val="single"/>
        </w:rPr>
        <w:t>AEP Texas Transmission Response:</w:t>
      </w:r>
    </w:p>
    <w:p w14:paraId="10FE01B1" w14:textId="6F4A13C5" w:rsidR="00C713E4" w:rsidRPr="00B87FB0" w:rsidRDefault="00B87FB0" w:rsidP="002C5BB3">
      <w:pPr>
        <w:ind w:left="1440" w:firstLine="0"/>
        <w:rPr>
          <w:szCs w:val="24"/>
        </w:rPr>
      </w:pPr>
      <w:r w:rsidRPr="00B87FB0">
        <w:rPr>
          <w:szCs w:val="24"/>
        </w:rPr>
        <w:t xml:space="preserve">AEP Texas does not acquire and stockpile transmission facility components for use during the hurricane season.  AEP utilizes a sparing strategy </w:t>
      </w:r>
      <w:r>
        <w:rPr>
          <w:szCs w:val="24"/>
        </w:rPr>
        <w:t xml:space="preserve">in which available spare units </w:t>
      </w:r>
      <w:r w:rsidRPr="00B87FB0">
        <w:rPr>
          <w:szCs w:val="24"/>
        </w:rPr>
        <w:t>and options available for responding to an unplanned outage enable AEP Texas Transmission to have necessary equipment and supplies available to restore service effectively and efficiently.  In other words, if materials were to become limited, AEP Texas could rely on other districts of AEP Texas or other AEP utilities such as SWEPCO and PSO, or those in the eastern portion of the AEP footprint.  AEP also utilizes planned construction materials to support emergency restoration such as hurricane response.  Lastly, AEP calls upon its many vendor relationships and peer mutual assistance partners to supply materials during such emergencies.</w:t>
      </w:r>
    </w:p>
    <w:p w14:paraId="7B9394FA" w14:textId="04BED398" w:rsidR="00F643D7" w:rsidRPr="000F1770" w:rsidRDefault="00F643D7" w:rsidP="00F643D7">
      <w:pPr>
        <w:ind w:left="720" w:firstLine="0"/>
        <w:rPr>
          <w:b/>
          <w:szCs w:val="24"/>
          <w:u w:val="single"/>
        </w:rPr>
      </w:pPr>
      <w:r w:rsidRPr="000F1770">
        <w:rPr>
          <w:b/>
          <w:szCs w:val="24"/>
          <w:u w:val="single"/>
        </w:rPr>
        <w:t>AEP Texas Distribution Response:</w:t>
      </w:r>
    </w:p>
    <w:p w14:paraId="67C72511" w14:textId="77777777" w:rsidR="00F643D7" w:rsidRPr="00B87FB0" w:rsidRDefault="00F643D7" w:rsidP="00F643D7">
      <w:pPr>
        <w:ind w:left="1080" w:firstLine="0"/>
        <w:rPr>
          <w:szCs w:val="24"/>
        </w:rPr>
      </w:pPr>
      <w:r w:rsidRPr="00B87FB0">
        <w:rPr>
          <w:szCs w:val="24"/>
        </w:rPr>
        <w:t>AEP Texas Distribution mobilizes material resources in preparation for a hurricane.  The Company maintains storm stock during each storm season based on anticipated requirements for at least the first 7-10 days of the restoration.  This stock is held in central stores and is pre-staged in strategic locations throughout the service territory.  Some of this inventory is put on pallets for use at staging sites or at service centers.  For example, for Hurricane Harvey, pallets of the material located at Kingsville Regional Distribution Center and surrounding service centers consisted of 250-500 pallets of material, plus wire and cable.  Several sets of pallets of material were established around the system.  Key suppliers, including our distribution materials distributor, transformer supplier, wire and cable suppliers, key pole line hardware and related material manufacturers, and wood pole supplier are provided with inventory requirements, and in some cases raw material inventory requirements, so that they are able to respond quickly to replenish the Company with materials after the initial five days of restoration.</w:t>
      </w:r>
    </w:p>
    <w:p w14:paraId="5DE5ECE4" w14:textId="6DC3EF44" w:rsidR="00F643D7" w:rsidRPr="00B87FB0" w:rsidRDefault="00F643D7" w:rsidP="00F643D7">
      <w:pPr>
        <w:ind w:left="1080" w:firstLine="0"/>
        <w:rPr>
          <w:szCs w:val="24"/>
        </w:rPr>
      </w:pPr>
      <w:r w:rsidRPr="00B87FB0">
        <w:rPr>
          <w:szCs w:val="24"/>
        </w:rPr>
        <w:t>Additionally, the</w:t>
      </w:r>
      <w:r w:rsidR="009F35BB">
        <w:rPr>
          <w:szCs w:val="24"/>
        </w:rPr>
        <w:t xml:space="preserve"> AEP Texas Incident Command </w:t>
      </w:r>
      <w:r w:rsidR="004B33AC">
        <w:rPr>
          <w:szCs w:val="24"/>
        </w:rPr>
        <w:t>System</w:t>
      </w:r>
      <w:r w:rsidR="004B33AC" w:rsidRPr="00B87FB0">
        <w:rPr>
          <w:szCs w:val="24"/>
        </w:rPr>
        <w:t xml:space="preserve"> </w:t>
      </w:r>
      <w:r w:rsidR="009F35BB">
        <w:rPr>
          <w:szCs w:val="24"/>
        </w:rPr>
        <w:t>(</w:t>
      </w:r>
      <w:r w:rsidRPr="00B87FB0">
        <w:rPr>
          <w:szCs w:val="24"/>
        </w:rPr>
        <w:t>ICS</w:t>
      </w:r>
      <w:r w:rsidR="009F35BB">
        <w:rPr>
          <w:szCs w:val="24"/>
        </w:rPr>
        <w:t>)</w:t>
      </w:r>
      <w:r w:rsidRPr="00B87FB0">
        <w:rPr>
          <w:szCs w:val="24"/>
        </w:rPr>
        <w:t xml:space="preserve"> Material Ordering Manager maintains a storm stock list that anticipates material demands to restore the system.  From this list, pallets of the anticipated materials are developed and made ready for delivery to the locations of need.  The list also serves as the basis for the initial storm orders of material to replace that used during the early stages of restoration.  The materials list is developed with different assumptions for Category 1 through 5 hurricanes, as well as projected daily usage, and is continuously refined and updated as materials become obsolete and replaced with new technology or specifications.</w:t>
      </w:r>
    </w:p>
    <w:p w14:paraId="58BDE05C" w14:textId="77777777" w:rsidR="00F643D7" w:rsidRPr="00B87FB0" w:rsidRDefault="00F643D7" w:rsidP="00F643D7">
      <w:pPr>
        <w:ind w:left="1080" w:firstLine="0"/>
        <w:rPr>
          <w:szCs w:val="24"/>
        </w:rPr>
      </w:pPr>
      <w:r w:rsidRPr="00B87FB0">
        <w:rPr>
          <w:szCs w:val="24"/>
        </w:rPr>
        <w:t>The company also placed orders for approximately two million dollars of material two days before Harvey’s landfall.  Additionally, if materials were to become limited, AEP Texas could rely on other districts of AEP Texas or other AEP utilities such as SWEPCO and PSO, or those in the eastern portion of the AEP footprint.</w:t>
      </w:r>
    </w:p>
    <w:p w14:paraId="07551B18" w14:textId="77777777" w:rsidR="001C0CA9" w:rsidRDefault="001C0CA9" w:rsidP="00CB0394">
      <w:pPr>
        <w:ind w:left="1440"/>
        <w:rPr>
          <w:b/>
          <w:u w:val="single"/>
        </w:rPr>
      </w:pPr>
    </w:p>
    <w:p w14:paraId="66FD09E2" w14:textId="77777777" w:rsidR="00CB0394" w:rsidRPr="00CB0394" w:rsidRDefault="00CB0394" w:rsidP="00CB0394">
      <w:pPr>
        <w:ind w:left="1440"/>
        <w:rPr>
          <w:b/>
          <w:u w:val="single"/>
        </w:rPr>
      </w:pPr>
      <w:r w:rsidRPr="00CB0394">
        <w:rPr>
          <w:b/>
          <w:u w:val="single"/>
        </w:rPr>
        <w:t>CNP Response:</w:t>
      </w:r>
    </w:p>
    <w:p w14:paraId="14711CB7" w14:textId="77777777" w:rsidR="00CB0394" w:rsidRPr="00CB0394" w:rsidRDefault="00CB0394" w:rsidP="00CB0394">
      <w:pPr>
        <w:ind w:left="1440" w:firstLine="0"/>
      </w:pPr>
      <w:r w:rsidRPr="00CB0394">
        <w:t>CNP receives Emergency Operating Plan (EOP) transmission materials prior to hurricane season.</w:t>
      </w:r>
    </w:p>
    <w:p w14:paraId="52674463" w14:textId="77777777" w:rsidR="00CB0394" w:rsidRPr="00CB0394" w:rsidRDefault="00CB0394" w:rsidP="00CB0394">
      <w:pPr>
        <w:ind w:left="1440" w:firstLine="0"/>
      </w:pPr>
      <w:r w:rsidRPr="00CB0394">
        <w:t>CNP relies on its substation and major underground emergency inventory levels and sparing strategy to address storm response.</w:t>
      </w:r>
    </w:p>
    <w:p w14:paraId="5EB774BC" w14:textId="77777777" w:rsidR="00CB0394" w:rsidRDefault="00CB0394" w:rsidP="00CB0394">
      <w:pPr>
        <w:ind w:left="1440" w:firstLine="0"/>
      </w:pPr>
      <w:r w:rsidRPr="00CB0394">
        <w:t>Distribution system storm kits of common restoration materials are distributed through the system prior to hurricane season.  In addition, EOP material lists have been developed based on the expected severity of the storm.  CNP works closely with suppliers such that material orders can be placed 72 hours before expected landfall, with material deliveries expected within 3-7 days of order.  CNP is also working with neighboring utilities to cross reference materials that can be shared during an event.</w:t>
      </w:r>
    </w:p>
    <w:p w14:paraId="3F064A48" w14:textId="77777777" w:rsidR="00C713E4" w:rsidRDefault="00C713E4" w:rsidP="00CB0394">
      <w:pPr>
        <w:ind w:left="1440" w:firstLine="0"/>
      </w:pPr>
    </w:p>
    <w:p w14:paraId="6F5C7AE7" w14:textId="77777777" w:rsidR="00C713E4" w:rsidRDefault="00C713E4" w:rsidP="00C713E4">
      <w:pPr>
        <w:ind w:left="720" w:firstLine="0"/>
        <w:rPr>
          <w:b/>
          <w:u w:val="single"/>
        </w:rPr>
      </w:pPr>
      <w:r w:rsidRPr="00CB0394">
        <w:rPr>
          <w:b/>
          <w:u w:val="single"/>
        </w:rPr>
        <w:t>LCRA TSC Response:</w:t>
      </w:r>
    </w:p>
    <w:p w14:paraId="49E3EC73" w14:textId="49CBCB88" w:rsidR="00C713E4" w:rsidRDefault="00A61C49" w:rsidP="00C713E4">
      <w:pPr>
        <w:tabs>
          <w:tab w:val="left" w:pos="2250"/>
        </w:tabs>
        <w:ind w:left="1440" w:firstLine="0"/>
      </w:pPr>
      <w:r>
        <w:t>LCRA</w:t>
      </w:r>
      <w:r w:rsidR="00B42206">
        <w:t xml:space="preserve"> TSC</w:t>
      </w:r>
      <w:r>
        <w:t xml:space="preserve"> purchases and inventories critical spares to support system reliability for failure events. The determination for critical spares is made by our system reliability, engineering, inventory management and system planning teams based on supporting current assets in service.  LCRA</w:t>
      </w:r>
      <w:r w:rsidR="00B42206">
        <w:t xml:space="preserve"> TSC</w:t>
      </w:r>
      <w:r>
        <w:t xml:space="preserve"> also maintains long term agreements with vendors for both reliability and capital needs.  These long term agreements for both material and contract labor include emergency response and expedited availability.</w:t>
      </w:r>
    </w:p>
    <w:p w14:paraId="47F2CD6C" w14:textId="77777777" w:rsidR="00C713E4" w:rsidRDefault="00C713E4" w:rsidP="002C16C3">
      <w:pPr>
        <w:ind w:left="1440" w:firstLine="0"/>
      </w:pPr>
      <w:r>
        <w:t xml:space="preserve">Prior to potential hurricane events, LCRA TSC </w:t>
      </w:r>
      <w:r w:rsidR="00A61C49">
        <w:t xml:space="preserve">also </w:t>
      </w:r>
      <w:r>
        <w:t xml:space="preserve">tops off fuel tanks and ensures </w:t>
      </w:r>
      <w:r w:rsidR="00D100CD">
        <w:t>availably of water supplies and Meal Ready to Eat (</w:t>
      </w:r>
      <w:r>
        <w:t>MREs</w:t>
      </w:r>
      <w:r w:rsidR="00D100CD">
        <w:t>)</w:t>
      </w:r>
      <w:r>
        <w:t xml:space="preserve"> for event restoration crew members. </w:t>
      </w:r>
    </w:p>
    <w:p w14:paraId="48BF7350" w14:textId="445414BE" w:rsidR="002C16C3" w:rsidRDefault="002C16C3" w:rsidP="002C16C3">
      <w:pPr>
        <w:ind w:firstLine="720"/>
      </w:pPr>
      <w:r>
        <w:rPr>
          <w:b/>
          <w:u w:val="single"/>
        </w:rPr>
        <w:t>Sharyland</w:t>
      </w:r>
      <w:r w:rsidRPr="0090142A">
        <w:rPr>
          <w:b/>
          <w:u w:val="single"/>
        </w:rPr>
        <w:t xml:space="preserve"> Response</w:t>
      </w:r>
      <w:r w:rsidRPr="0090142A">
        <w:t>:</w:t>
      </w:r>
    </w:p>
    <w:p w14:paraId="73B79E0C" w14:textId="20BCB208" w:rsidR="002C16C3" w:rsidRPr="002C16C3" w:rsidRDefault="002C16C3" w:rsidP="002C16C3">
      <w:pPr>
        <w:tabs>
          <w:tab w:val="left" w:pos="2250"/>
        </w:tabs>
        <w:ind w:left="1440" w:firstLine="0"/>
      </w:pPr>
      <w:r w:rsidRPr="002C16C3">
        <w:t xml:space="preserve">Yes, Sharyland Utilities retains an inventory of material in the event of needed restoration and will be relocating a mobile substation to the Rio Grande Valley area.  Sharyland maintains a warehouse in the Rio Grande Valley </w:t>
      </w:r>
      <w:r w:rsidR="00FA3E08">
        <w:t>that</w:t>
      </w:r>
      <w:r w:rsidRPr="002C16C3">
        <w:t xml:space="preserve"> stores transmission material</w:t>
      </w:r>
      <w:r w:rsidR="00DE626C">
        <w:t>s.  Sharyland</w:t>
      </w:r>
      <w:r w:rsidRPr="002C16C3">
        <w:t xml:space="preserve"> also has agreements with equipment vendors and contractors for emergency response in the event of restoration needs.</w:t>
      </w:r>
    </w:p>
    <w:p w14:paraId="66373854" w14:textId="77777777" w:rsidR="00CB0394" w:rsidRPr="00C348F2" w:rsidRDefault="00CB0394" w:rsidP="00CB0394">
      <w:pPr>
        <w:ind w:firstLine="0"/>
      </w:pPr>
    </w:p>
    <w:sectPr w:rsidR="00CB0394" w:rsidRPr="00C348F2">
      <w:footerReference w:type="default" r:id="rId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75557D" w16cid:durableId="1F16D187"/>
  <w16cid:commentId w16cid:paraId="7C15EF99" w16cid:durableId="1F16D1A1"/>
  <w16cid:commentId w16cid:paraId="066C486E" w16cid:durableId="1F16D188"/>
  <w16cid:commentId w16cid:paraId="14B418AE" w16cid:durableId="1F16D44F"/>
  <w16cid:commentId w16cid:paraId="68D0B427" w16cid:durableId="1F16D1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41AC7" w14:textId="77777777" w:rsidR="008C17DA" w:rsidRDefault="008C17DA" w:rsidP="00956367">
      <w:pPr>
        <w:spacing w:after="0" w:line="240" w:lineRule="auto"/>
      </w:pPr>
      <w:r>
        <w:separator/>
      </w:r>
    </w:p>
  </w:endnote>
  <w:endnote w:type="continuationSeparator" w:id="0">
    <w:p w14:paraId="51D0B554" w14:textId="77777777" w:rsidR="008C17DA" w:rsidRDefault="008C17DA" w:rsidP="00956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9768" w14:textId="77777777" w:rsidR="007D7E5D" w:rsidRDefault="007D7E5D" w:rsidP="00956367">
    <w:pPr>
      <w:pStyle w:val="Footer"/>
    </w:pPr>
  </w:p>
  <w:p w14:paraId="4AD92100" w14:textId="35651A82" w:rsidR="00956367" w:rsidRDefault="00956367" w:rsidP="00956367">
    <w:pPr>
      <w:pStyle w:val="Footer"/>
    </w:pPr>
    <w:r>
      <w:t>Public Utility Commission of Texas Project No. 47552</w:t>
    </w:r>
    <w:r>
      <w:tab/>
    </w:r>
    <w:r>
      <w:tab/>
      <w:t xml:space="preserve">Page </w:t>
    </w:r>
    <w:r>
      <w:fldChar w:fldCharType="begin"/>
    </w:r>
    <w:r>
      <w:instrText xml:space="preserve"> PAGE   \* MERGEFORMAT </w:instrText>
    </w:r>
    <w:r>
      <w:fldChar w:fldCharType="separate"/>
    </w:r>
    <w:r w:rsidR="008540CF">
      <w:rPr>
        <w:noProof/>
      </w:rPr>
      <w:t>1</w:t>
    </w:r>
    <w:r>
      <w:rPr>
        <w:noProof/>
      </w:rPr>
      <w:fldChar w:fldCharType="end"/>
    </w:r>
  </w:p>
  <w:p w14:paraId="046352E4" w14:textId="12F1848E" w:rsidR="00CC69A4" w:rsidRDefault="00956367" w:rsidP="00956367">
    <w:pPr>
      <w:pStyle w:val="Footer"/>
    </w:pPr>
    <w:r>
      <w:t>Dated:  0</w:t>
    </w:r>
    <w:r w:rsidR="000D1764">
      <w:t>6/14/2018</w:t>
    </w:r>
    <w:r w:rsidR="00DE67AF">
      <w:t>; updated 07/</w:t>
    </w:r>
    <w:r w:rsidR="00C9039A">
      <w:t>12</w:t>
    </w:r>
    <w:r w:rsidR="00DE67AF">
      <w:t>/2018</w:t>
    </w:r>
    <w:r w:rsidR="00F117E4">
      <w:t xml:space="preserve">, </w:t>
    </w:r>
    <w:r w:rsidR="00CC69A4">
      <w:t>07/2</w:t>
    </w:r>
    <w:r w:rsidR="00C71016">
      <w:t>6</w:t>
    </w:r>
    <w:r w:rsidR="00CC69A4">
      <w:t>/2018</w:t>
    </w:r>
    <w:r w:rsidR="00F117E4">
      <w:t>, &amp; 08/14/2018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B0B8E" w14:textId="77777777" w:rsidR="008C17DA" w:rsidRDefault="008C17DA" w:rsidP="00956367">
      <w:pPr>
        <w:spacing w:after="0" w:line="240" w:lineRule="auto"/>
      </w:pPr>
      <w:r>
        <w:separator/>
      </w:r>
    </w:p>
  </w:footnote>
  <w:footnote w:type="continuationSeparator" w:id="0">
    <w:p w14:paraId="01A88E42" w14:textId="77777777" w:rsidR="008C17DA" w:rsidRDefault="008C17DA" w:rsidP="009563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1DF0"/>
    <w:multiLevelType w:val="hybridMultilevel"/>
    <w:tmpl w:val="90381656"/>
    <w:lvl w:ilvl="0" w:tplc="273CA126">
      <w:start w:val="1"/>
      <w:numFmt w:val="bullet"/>
      <w:lvlText w:val="•"/>
      <w:lvlJc w:val="left"/>
      <w:pPr>
        <w:tabs>
          <w:tab w:val="num" w:pos="720"/>
        </w:tabs>
        <w:ind w:left="720" w:hanging="360"/>
      </w:pPr>
      <w:rPr>
        <w:rFonts w:ascii="Arial" w:hAnsi="Arial" w:hint="default"/>
      </w:rPr>
    </w:lvl>
    <w:lvl w:ilvl="1" w:tplc="CA662564" w:tentative="1">
      <w:start w:val="1"/>
      <w:numFmt w:val="bullet"/>
      <w:lvlText w:val="•"/>
      <w:lvlJc w:val="left"/>
      <w:pPr>
        <w:tabs>
          <w:tab w:val="num" w:pos="1440"/>
        </w:tabs>
        <w:ind w:left="1440" w:hanging="360"/>
      </w:pPr>
      <w:rPr>
        <w:rFonts w:ascii="Arial" w:hAnsi="Arial" w:hint="default"/>
      </w:rPr>
    </w:lvl>
    <w:lvl w:ilvl="2" w:tplc="BA4445FA" w:tentative="1">
      <w:start w:val="1"/>
      <w:numFmt w:val="bullet"/>
      <w:lvlText w:val="•"/>
      <w:lvlJc w:val="left"/>
      <w:pPr>
        <w:tabs>
          <w:tab w:val="num" w:pos="2160"/>
        </w:tabs>
        <w:ind w:left="2160" w:hanging="360"/>
      </w:pPr>
      <w:rPr>
        <w:rFonts w:ascii="Arial" w:hAnsi="Arial" w:hint="default"/>
      </w:rPr>
    </w:lvl>
    <w:lvl w:ilvl="3" w:tplc="177C5D1A" w:tentative="1">
      <w:start w:val="1"/>
      <w:numFmt w:val="bullet"/>
      <w:lvlText w:val="•"/>
      <w:lvlJc w:val="left"/>
      <w:pPr>
        <w:tabs>
          <w:tab w:val="num" w:pos="2880"/>
        </w:tabs>
        <w:ind w:left="2880" w:hanging="360"/>
      </w:pPr>
      <w:rPr>
        <w:rFonts w:ascii="Arial" w:hAnsi="Arial" w:hint="default"/>
      </w:rPr>
    </w:lvl>
    <w:lvl w:ilvl="4" w:tplc="1994C704" w:tentative="1">
      <w:start w:val="1"/>
      <w:numFmt w:val="bullet"/>
      <w:lvlText w:val="•"/>
      <w:lvlJc w:val="left"/>
      <w:pPr>
        <w:tabs>
          <w:tab w:val="num" w:pos="3600"/>
        </w:tabs>
        <w:ind w:left="3600" w:hanging="360"/>
      </w:pPr>
      <w:rPr>
        <w:rFonts w:ascii="Arial" w:hAnsi="Arial" w:hint="default"/>
      </w:rPr>
    </w:lvl>
    <w:lvl w:ilvl="5" w:tplc="9AF0998A" w:tentative="1">
      <w:start w:val="1"/>
      <w:numFmt w:val="bullet"/>
      <w:lvlText w:val="•"/>
      <w:lvlJc w:val="left"/>
      <w:pPr>
        <w:tabs>
          <w:tab w:val="num" w:pos="4320"/>
        </w:tabs>
        <w:ind w:left="4320" w:hanging="360"/>
      </w:pPr>
      <w:rPr>
        <w:rFonts w:ascii="Arial" w:hAnsi="Arial" w:hint="default"/>
      </w:rPr>
    </w:lvl>
    <w:lvl w:ilvl="6" w:tplc="D5CEBB6A" w:tentative="1">
      <w:start w:val="1"/>
      <w:numFmt w:val="bullet"/>
      <w:lvlText w:val="•"/>
      <w:lvlJc w:val="left"/>
      <w:pPr>
        <w:tabs>
          <w:tab w:val="num" w:pos="5040"/>
        </w:tabs>
        <w:ind w:left="5040" w:hanging="360"/>
      </w:pPr>
      <w:rPr>
        <w:rFonts w:ascii="Arial" w:hAnsi="Arial" w:hint="default"/>
      </w:rPr>
    </w:lvl>
    <w:lvl w:ilvl="7" w:tplc="5C7C7E4C" w:tentative="1">
      <w:start w:val="1"/>
      <w:numFmt w:val="bullet"/>
      <w:lvlText w:val="•"/>
      <w:lvlJc w:val="left"/>
      <w:pPr>
        <w:tabs>
          <w:tab w:val="num" w:pos="5760"/>
        </w:tabs>
        <w:ind w:left="5760" w:hanging="360"/>
      </w:pPr>
      <w:rPr>
        <w:rFonts w:ascii="Arial" w:hAnsi="Arial" w:hint="default"/>
      </w:rPr>
    </w:lvl>
    <w:lvl w:ilvl="8" w:tplc="9D0436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01972"/>
    <w:multiLevelType w:val="hybridMultilevel"/>
    <w:tmpl w:val="E5405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D05B4"/>
    <w:multiLevelType w:val="hybridMultilevel"/>
    <w:tmpl w:val="E430B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63534C9"/>
    <w:multiLevelType w:val="hybridMultilevel"/>
    <w:tmpl w:val="790E9D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A8634AC"/>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225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15:restartNumberingAfterBreak="0">
    <w:nsid w:val="1B9D0216"/>
    <w:multiLevelType w:val="hybridMultilevel"/>
    <w:tmpl w:val="73BC7B1A"/>
    <w:lvl w:ilvl="0" w:tplc="04090001">
      <w:start w:val="1"/>
      <w:numFmt w:val="bullet"/>
      <w:lvlText w:val=""/>
      <w:lvlJc w:val="left"/>
      <w:pPr>
        <w:ind w:left="360" w:hanging="360"/>
      </w:pPr>
      <w:rPr>
        <w:rFonts w:ascii="Symbol" w:hAnsi="Symbol" w:hint="default"/>
      </w:rPr>
    </w:lvl>
    <w:lvl w:ilvl="1" w:tplc="FB06CCCA">
      <w:start w:val="1"/>
      <w:numFmt w:val="bullet"/>
      <w:lvlText w:val="o"/>
      <w:lvlJc w:val="left"/>
      <w:pPr>
        <w:ind w:left="1080" w:hanging="360"/>
      </w:pPr>
      <w:rPr>
        <w:rFonts w:ascii="Courier New" w:hAnsi="Courier New" w:cs="Courier New" w:hint="default"/>
        <w:strike w:val="0"/>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DA7C56"/>
    <w:multiLevelType w:val="hybridMultilevel"/>
    <w:tmpl w:val="BA2A576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E803959"/>
    <w:multiLevelType w:val="hybridMultilevel"/>
    <w:tmpl w:val="8AFC752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2E97EB1"/>
    <w:multiLevelType w:val="hybridMultilevel"/>
    <w:tmpl w:val="511ACE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6360DAB"/>
    <w:multiLevelType w:val="hybridMultilevel"/>
    <w:tmpl w:val="1B167638"/>
    <w:lvl w:ilvl="0" w:tplc="AD3A2954">
      <w:start w:val="1"/>
      <w:numFmt w:val="bullet"/>
      <w:lvlText w:val="•"/>
      <w:lvlJc w:val="left"/>
      <w:pPr>
        <w:tabs>
          <w:tab w:val="num" w:pos="720"/>
        </w:tabs>
        <w:ind w:left="720" w:hanging="360"/>
      </w:pPr>
      <w:rPr>
        <w:rFonts w:ascii="Arial" w:hAnsi="Arial" w:hint="default"/>
      </w:rPr>
    </w:lvl>
    <w:lvl w:ilvl="1" w:tplc="D20E14CA">
      <w:start w:val="3726"/>
      <w:numFmt w:val="bullet"/>
      <w:lvlText w:val="•"/>
      <w:lvlJc w:val="left"/>
      <w:pPr>
        <w:tabs>
          <w:tab w:val="num" w:pos="1440"/>
        </w:tabs>
        <w:ind w:left="1440" w:hanging="360"/>
      </w:pPr>
      <w:rPr>
        <w:rFonts w:ascii="Arial" w:hAnsi="Arial" w:hint="default"/>
      </w:rPr>
    </w:lvl>
    <w:lvl w:ilvl="2" w:tplc="D2A48D44" w:tentative="1">
      <w:start w:val="1"/>
      <w:numFmt w:val="bullet"/>
      <w:lvlText w:val="•"/>
      <w:lvlJc w:val="left"/>
      <w:pPr>
        <w:tabs>
          <w:tab w:val="num" w:pos="2160"/>
        </w:tabs>
        <w:ind w:left="2160" w:hanging="360"/>
      </w:pPr>
      <w:rPr>
        <w:rFonts w:ascii="Arial" w:hAnsi="Arial" w:hint="default"/>
      </w:rPr>
    </w:lvl>
    <w:lvl w:ilvl="3" w:tplc="FEB40A28" w:tentative="1">
      <w:start w:val="1"/>
      <w:numFmt w:val="bullet"/>
      <w:lvlText w:val="•"/>
      <w:lvlJc w:val="left"/>
      <w:pPr>
        <w:tabs>
          <w:tab w:val="num" w:pos="2880"/>
        </w:tabs>
        <w:ind w:left="2880" w:hanging="360"/>
      </w:pPr>
      <w:rPr>
        <w:rFonts w:ascii="Arial" w:hAnsi="Arial" w:hint="default"/>
      </w:rPr>
    </w:lvl>
    <w:lvl w:ilvl="4" w:tplc="181A241C" w:tentative="1">
      <w:start w:val="1"/>
      <w:numFmt w:val="bullet"/>
      <w:lvlText w:val="•"/>
      <w:lvlJc w:val="left"/>
      <w:pPr>
        <w:tabs>
          <w:tab w:val="num" w:pos="3600"/>
        </w:tabs>
        <w:ind w:left="3600" w:hanging="360"/>
      </w:pPr>
      <w:rPr>
        <w:rFonts w:ascii="Arial" w:hAnsi="Arial" w:hint="default"/>
      </w:rPr>
    </w:lvl>
    <w:lvl w:ilvl="5" w:tplc="C5E6946A" w:tentative="1">
      <w:start w:val="1"/>
      <w:numFmt w:val="bullet"/>
      <w:lvlText w:val="•"/>
      <w:lvlJc w:val="left"/>
      <w:pPr>
        <w:tabs>
          <w:tab w:val="num" w:pos="4320"/>
        </w:tabs>
        <w:ind w:left="4320" w:hanging="360"/>
      </w:pPr>
      <w:rPr>
        <w:rFonts w:ascii="Arial" w:hAnsi="Arial" w:hint="default"/>
      </w:rPr>
    </w:lvl>
    <w:lvl w:ilvl="6" w:tplc="0EC4DA04" w:tentative="1">
      <w:start w:val="1"/>
      <w:numFmt w:val="bullet"/>
      <w:lvlText w:val="•"/>
      <w:lvlJc w:val="left"/>
      <w:pPr>
        <w:tabs>
          <w:tab w:val="num" w:pos="5040"/>
        </w:tabs>
        <w:ind w:left="5040" w:hanging="360"/>
      </w:pPr>
      <w:rPr>
        <w:rFonts w:ascii="Arial" w:hAnsi="Arial" w:hint="default"/>
      </w:rPr>
    </w:lvl>
    <w:lvl w:ilvl="7" w:tplc="5B788C94" w:tentative="1">
      <w:start w:val="1"/>
      <w:numFmt w:val="bullet"/>
      <w:lvlText w:val="•"/>
      <w:lvlJc w:val="left"/>
      <w:pPr>
        <w:tabs>
          <w:tab w:val="num" w:pos="5760"/>
        </w:tabs>
        <w:ind w:left="5760" w:hanging="360"/>
      </w:pPr>
      <w:rPr>
        <w:rFonts w:ascii="Arial" w:hAnsi="Arial" w:hint="default"/>
      </w:rPr>
    </w:lvl>
    <w:lvl w:ilvl="8" w:tplc="73BA0A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D43E6D"/>
    <w:multiLevelType w:val="hybridMultilevel"/>
    <w:tmpl w:val="C89220F0"/>
    <w:lvl w:ilvl="0" w:tplc="F94ECD9A">
      <w:start w:val="1"/>
      <w:numFmt w:val="bullet"/>
      <w:lvlText w:val="•"/>
      <w:lvlJc w:val="left"/>
      <w:pPr>
        <w:tabs>
          <w:tab w:val="num" w:pos="720"/>
        </w:tabs>
        <w:ind w:left="720" w:hanging="360"/>
      </w:pPr>
      <w:rPr>
        <w:rFonts w:ascii="Arial" w:hAnsi="Arial" w:hint="default"/>
        <w:color w:val="0070C0"/>
      </w:rPr>
    </w:lvl>
    <w:lvl w:ilvl="1" w:tplc="FEF6EDAE" w:tentative="1">
      <w:start w:val="1"/>
      <w:numFmt w:val="bullet"/>
      <w:lvlText w:val="•"/>
      <w:lvlJc w:val="left"/>
      <w:pPr>
        <w:tabs>
          <w:tab w:val="num" w:pos="1440"/>
        </w:tabs>
        <w:ind w:left="1440" w:hanging="360"/>
      </w:pPr>
      <w:rPr>
        <w:rFonts w:ascii="Arial" w:hAnsi="Arial" w:hint="default"/>
      </w:rPr>
    </w:lvl>
    <w:lvl w:ilvl="2" w:tplc="B038D76A" w:tentative="1">
      <w:start w:val="1"/>
      <w:numFmt w:val="bullet"/>
      <w:lvlText w:val="•"/>
      <w:lvlJc w:val="left"/>
      <w:pPr>
        <w:tabs>
          <w:tab w:val="num" w:pos="2160"/>
        </w:tabs>
        <w:ind w:left="2160" w:hanging="360"/>
      </w:pPr>
      <w:rPr>
        <w:rFonts w:ascii="Arial" w:hAnsi="Arial" w:hint="default"/>
      </w:rPr>
    </w:lvl>
    <w:lvl w:ilvl="3" w:tplc="BA584A9E" w:tentative="1">
      <w:start w:val="1"/>
      <w:numFmt w:val="bullet"/>
      <w:lvlText w:val="•"/>
      <w:lvlJc w:val="left"/>
      <w:pPr>
        <w:tabs>
          <w:tab w:val="num" w:pos="2880"/>
        </w:tabs>
        <w:ind w:left="2880" w:hanging="360"/>
      </w:pPr>
      <w:rPr>
        <w:rFonts w:ascii="Arial" w:hAnsi="Arial" w:hint="default"/>
      </w:rPr>
    </w:lvl>
    <w:lvl w:ilvl="4" w:tplc="07F48B62" w:tentative="1">
      <w:start w:val="1"/>
      <w:numFmt w:val="bullet"/>
      <w:lvlText w:val="•"/>
      <w:lvlJc w:val="left"/>
      <w:pPr>
        <w:tabs>
          <w:tab w:val="num" w:pos="3600"/>
        </w:tabs>
        <w:ind w:left="3600" w:hanging="360"/>
      </w:pPr>
      <w:rPr>
        <w:rFonts w:ascii="Arial" w:hAnsi="Arial" w:hint="default"/>
      </w:rPr>
    </w:lvl>
    <w:lvl w:ilvl="5" w:tplc="BB009A52" w:tentative="1">
      <w:start w:val="1"/>
      <w:numFmt w:val="bullet"/>
      <w:lvlText w:val="•"/>
      <w:lvlJc w:val="left"/>
      <w:pPr>
        <w:tabs>
          <w:tab w:val="num" w:pos="4320"/>
        </w:tabs>
        <w:ind w:left="4320" w:hanging="360"/>
      </w:pPr>
      <w:rPr>
        <w:rFonts w:ascii="Arial" w:hAnsi="Arial" w:hint="default"/>
      </w:rPr>
    </w:lvl>
    <w:lvl w:ilvl="6" w:tplc="E578BD26" w:tentative="1">
      <w:start w:val="1"/>
      <w:numFmt w:val="bullet"/>
      <w:lvlText w:val="•"/>
      <w:lvlJc w:val="left"/>
      <w:pPr>
        <w:tabs>
          <w:tab w:val="num" w:pos="5040"/>
        </w:tabs>
        <w:ind w:left="5040" w:hanging="360"/>
      </w:pPr>
      <w:rPr>
        <w:rFonts w:ascii="Arial" w:hAnsi="Arial" w:hint="default"/>
      </w:rPr>
    </w:lvl>
    <w:lvl w:ilvl="7" w:tplc="D07243D8" w:tentative="1">
      <w:start w:val="1"/>
      <w:numFmt w:val="bullet"/>
      <w:lvlText w:val="•"/>
      <w:lvlJc w:val="left"/>
      <w:pPr>
        <w:tabs>
          <w:tab w:val="num" w:pos="5760"/>
        </w:tabs>
        <w:ind w:left="5760" w:hanging="360"/>
      </w:pPr>
      <w:rPr>
        <w:rFonts w:ascii="Arial" w:hAnsi="Arial" w:hint="default"/>
      </w:rPr>
    </w:lvl>
    <w:lvl w:ilvl="8" w:tplc="37FAE7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7252BD"/>
    <w:multiLevelType w:val="hybridMultilevel"/>
    <w:tmpl w:val="56C06790"/>
    <w:lvl w:ilvl="0" w:tplc="3E5A4D2A">
      <w:start w:val="1"/>
      <w:numFmt w:val="upperRoman"/>
      <w:lvlText w:val="%1."/>
      <w:lvlJc w:val="left"/>
      <w:pPr>
        <w:ind w:left="1440" w:hanging="720"/>
      </w:pPr>
      <w:rPr>
        <w:rFonts w:cs="Times New Roman"/>
      </w:rPr>
    </w:lvl>
    <w:lvl w:ilvl="1" w:tplc="2DF6904E">
      <w:start w:val="1"/>
      <w:numFmt w:val="lowerLetter"/>
      <w:lvlText w:val="%2."/>
      <w:lvlJc w:val="left"/>
      <w:pPr>
        <w:ind w:left="1800" w:hanging="360"/>
      </w:pPr>
      <w:rPr>
        <w:rFonts w:cs="Times New Roman"/>
        <w:color w:val="auto"/>
      </w:rPr>
    </w:lvl>
    <w:lvl w:ilvl="2" w:tplc="282EF10A">
      <w:start w:val="1"/>
      <w:numFmt w:val="upperLetter"/>
      <w:lvlText w:val="%3."/>
      <w:lvlJc w:val="right"/>
      <w:pPr>
        <w:ind w:left="2520" w:hanging="180"/>
      </w:pPr>
      <w:rPr>
        <w:rFonts w:ascii="Times New Roman" w:eastAsia="Times New Roman" w:hAnsi="Times New Roman"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15:restartNumberingAfterBreak="0">
    <w:nsid w:val="30DC1A91"/>
    <w:multiLevelType w:val="hybridMultilevel"/>
    <w:tmpl w:val="A80C6470"/>
    <w:lvl w:ilvl="0" w:tplc="71E6E100">
      <w:start w:val="1"/>
      <w:numFmt w:val="bullet"/>
      <w:lvlText w:val="•"/>
      <w:lvlJc w:val="left"/>
      <w:pPr>
        <w:tabs>
          <w:tab w:val="num" w:pos="720"/>
        </w:tabs>
        <w:ind w:left="720" w:hanging="360"/>
      </w:pPr>
      <w:rPr>
        <w:rFonts w:ascii="Arial" w:hAnsi="Arial" w:hint="default"/>
      </w:rPr>
    </w:lvl>
    <w:lvl w:ilvl="1" w:tplc="80049348">
      <w:start w:val="1"/>
      <w:numFmt w:val="bullet"/>
      <w:lvlText w:val="•"/>
      <w:lvlJc w:val="left"/>
      <w:pPr>
        <w:tabs>
          <w:tab w:val="num" w:pos="1440"/>
        </w:tabs>
        <w:ind w:left="1440" w:hanging="360"/>
      </w:pPr>
      <w:rPr>
        <w:rFonts w:ascii="Arial" w:hAnsi="Arial" w:hint="default"/>
      </w:rPr>
    </w:lvl>
    <w:lvl w:ilvl="2" w:tplc="B8BA574A" w:tentative="1">
      <w:start w:val="1"/>
      <w:numFmt w:val="bullet"/>
      <w:lvlText w:val="•"/>
      <w:lvlJc w:val="left"/>
      <w:pPr>
        <w:tabs>
          <w:tab w:val="num" w:pos="2160"/>
        </w:tabs>
        <w:ind w:left="2160" w:hanging="360"/>
      </w:pPr>
      <w:rPr>
        <w:rFonts w:ascii="Arial" w:hAnsi="Arial" w:hint="default"/>
      </w:rPr>
    </w:lvl>
    <w:lvl w:ilvl="3" w:tplc="0930B6E8" w:tentative="1">
      <w:start w:val="1"/>
      <w:numFmt w:val="bullet"/>
      <w:lvlText w:val="•"/>
      <w:lvlJc w:val="left"/>
      <w:pPr>
        <w:tabs>
          <w:tab w:val="num" w:pos="2880"/>
        </w:tabs>
        <w:ind w:left="2880" w:hanging="360"/>
      </w:pPr>
      <w:rPr>
        <w:rFonts w:ascii="Arial" w:hAnsi="Arial" w:hint="default"/>
      </w:rPr>
    </w:lvl>
    <w:lvl w:ilvl="4" w:tplc="8D546C20" w:tentative="1">
      <w:start w:val="1"/>
      <w:numFmt w:val="bullet"/>
      <w:lvlText w:val="•"/>
      <w:lvlJc w:val="left"/>
      <w:pPr>
        <w:tabs>
          <w:tab w:val="num" w:pos="3600"/>
        </w:tabs>
        <w:ind w:left="3600" w:hanging="360"/>
      </w:pPr>
      <w:rPr>
        <w:rFonts w:ascii="Arial" w:hAnsi="Arial" w:hint="default"/>
      </w:rPr>
    </w:lvl>
    <w:lvl w:ilvl="5" w:tplc="9E3AA5F6" w:tentative="1">
      <w:start w:val="1"/>
      <w:numFmt w:val="bullet"/>
      <w:lvlText w:val="•"/>
      <w:lvlJc w:val="left"/>
      <w:pPr>
        <w:tabs>
          <w:tab w:val="num" w:pos="4320"/>
        </w:tabs>
        <w:ind w:left="4320" w:hanging="360"/>
      </w:pPr>
      <w:rPr>
        <w:rFonts w:ascii="Arial" w:hAnsi="Arial" w:hint="default"/>
      </w:rPr>
    </w:lvl>
    <w:lvl w:ilvl="6" w:tplc="6414C4D6" w:tentative="1">
      <w:start w:val="1"/>
      <w:numFmt w:val="bullet"/>
      <w:lvlText w:val="•"/>
      <w:lvlJc w:val="left"/>
      <w:pPr>
        <w:tabs>
          <w:tab w:val="num" w:pos="5040"/>
        </w:tabs>
        <w:ind w:left="5040" w:hanging="360"/>
      </w:pPr>
      <w:rPr>
        <w:rFonts w:ascii="Arial" w:hAnsi="Arial" w:hint="default"/>
      </w:rPr>
    </w:lvl>
    <w:lvl w:ilvl="7" w:tplc="E8B8A1B8" w:tentative="1">
      <w:start w:val="1"/>
      <w:numFmt w:val="bullet"/>
      <w:lvlText w:val="•"/>
      <w:lvlJc w:val="left"/>
      <w:pPr>
        <w:tabs>
          <w:tab w:val="num" w:pos="5760"/>
        </w:tabs>
        <w:ind w:left="5760" w:hanging="360"/>
      </w:pPr>
      <w:rPr>
        <w:rFonts w:ascii="Arial" w:hAnsi="Arial" w:hint="default"/>
      </w:rPr>
    </w:lvl>
    <w:lvl w:ilvl="8" w:tplc="B9CEB0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845FB6"/>
    <w:multiLevelType w:val="hybridMultilevel"/>
    <w:tmpl w:val="1F324C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DC86776"/>
    <w:multiLevelType w:val="hybridMultilevel"/>
    <w:tmpl w:val="F0DCD1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15ED0"/>
    <w:multiLevelType w:val="hybridMultilevel"/>
    <w:tmpl w:val="3A38DBC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488150F3"/>
    <w:multiLevelType w:val="hybridMultilevel"/>
    <w:tmpl w:val="889664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C104259"/>
    <w:multiLevelType w:val="hybridMultilevel"/>
    <w:tmpl w:val="B2145B80"/>
    <w:lvl w:ilvl="0" w:tplc="A0E4C8E8">
      <w:numFmt w:val="bullet"/>
      <w:lvlText w:val="-"/>
      <w:lvlJc w:val="left"/>
      <w:pPr>
        <w:ind w:left="180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8" w15:restartNumberingAfterBreak="0">
    <w:nsid w:val="5037273B"/>
    <w:multiLevelType w:val="hybridMultilevel"/>
    <w:tmpl w:val="3B28C0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F7046E"/>
    <w:multiLevelType w:val="hybridMultilevel"/>
    <w:tmpl w:val="63BA5154"/>
    <w:lvl w:ilvl="0" w:tplc="8B9EB69A">
      <w:start w:val="1"/>
      <w:numFmt w:val="bullet"/>
      <w:lvlText w:val="•"/>
      <w:lvlJc w:val="left"/>
      <w:pPr>
        <w:tabs>
          <w:tab w:val="num" w:pos="720"/>
        </w:tabs>
        <w:ind w:left="720" w:hanging="360"/>
      </w:pPr>
      <w:rPr>
        <w:rFonts w:ascii="Arial" w:hAnsi="Arial" w:hint="default"/>
      </w:rPr>
    </w:lvl>
    <w:lvl w:ilvl="1" w:tplc="C21C4B8A" w:tentative="1">
      <w:start w:val="1"/>
      <w:numFmt w:val="bullet"/>
      <w:lvlText w:val="•"/>
      <w:lvlJc w:val="left"/>
      <w:pPr>
        <w:tabs>
          <w:tab w:val="num" w:pos="1440"/>
        </w:tabs>
        <w:ind w:left="1440" w:hanging="360"/>
      </w:pPr>
      <w:rPr>
        <w:rFonts w:ascii="Arial" w:hAnsi="Arial" w:hint="default"/>
      </w:rPr>
    </w:lvl>
    <w:lvl w:ilvl="2" w:tplc="80E2F97A" w:tentative="1">
      <w:start w:val="1"/>
      <w:numFmt w:val="bullet"/>
      <w:lvlText w:val="•"/>
      <w:lvlJc w:val="left"/>
      <w:pPr>
        <w:tabs>
          <w:tab w:val="num" w:pos="2160"/>
        </w:tabs>
        <w:ind w:left="2160" w:hanging="360"/>
      </w:pPr>
      <w:rPr>
        <w:rFonts w:ascii="Arial" w:hAnsi="Arial" w:hint="default"/>
      </w:rPr>
    </w:lvl>
    <w:lvl w:ilvl="3" w:tplc="7FB6EC4A" w:tentative="1">
      <w:start w:val="1"/>
      <w:numFmt w:val="bullet"/>
      <w:lvlText w:val="•"/>
      <w:lvlJc w:val="left"/>
      <w:pPr>
        <w:tabs>
          <w:tab w:val="num" w:pos="2880"/>
        </w:tabs>
        <w:ind w:left="2880" w:hanging="360"/>
      </w:pPr>
      <w:rPr>
        <w:rFonts w:ascii="Arial" w:hAnsi="Arial" w:hint="default"/>
      </w:rPr>
    </w:lvl>
    <w:lvl w:ilvl="4" w:tplc="50707368" w:tentative="1">
      <w:start w:val="1"/>
      <w:numFmt w:val="bullet"/>
      <w:lvlText w:val="•"/>
      <w:lvlJc w:val="left"/>
      <w:pPr>
        <w:tabs>
          <w:tab w:val="num" w:pos="3600"/>
        </w:tabs>
        <w:ind w:left="3600" w:hanging="360"/>
      </w:pPr>
      <w:rPr>
        <w:rFonts w:ascii="Arial" w:hAnsi="Arial" w:hint="default"/>
      </w:rPr>
    </w:lvl>
    <w:lvl w:ilvl="5" w:tplc="F46688D6" w:tentative="1">
      <w:start w:val="1"/>
      <w:numFmt w:val="bullet"/>
      <w:lvlText w:val="•"/>
      <w:lvlJc w:val="left"/>
      <w:pPr>
        <w:tabs>
          <w:tab w:val="num" w:pos="4320"/>
        </w:tabs>
        <w:ind w:left="4320" w:hanging="360"/>
      </w:pPr>
      <w:rPr>
        <w:rFonts w:ascii="Arial" w:hAnsi="Arial" w:hint="default"/>
      </w:rPr>
    </w:lvl>
    <w:lvl w:ilvl="6" w:tplc="0276D2CA" w:tentative="1">
      <w:start w:val="1"/>
      <w:numFmt w:val="bullet"/>
      <w:lvlText w:val="•"/>
      <w:lvlJc w:val="left"/>
      <w:pPr>
        <w:tabs>
          <w:tab w:val="num" w:pos="5040"/>
        </w:tabs>
        <w:ind w:left="5040" w:hanging="360"/>
      </w:pPr>
      <w:rPr>
        <w:rFonts w:ascii="Arial" w:hAnsi="Arial" w:hint="default"/>
      </w:rPr>
    </w:lvl>
    <w:lvl w:ilvl="7" w:tplc="28F4863A" w:tentative="1">
      <w:start w:val="1"/>
      <w:numFmt w:val="bullet"/>
      <w:lvlText w:val="•"/>
      <w:lvlJc w:val="left"/>
      <w:pPr>
        <w:tabs>
          <w:tab w:val="num" w:pos="5760"/>
        </w:tabs>
        <w:ind w:left="5760" w:hanging="360"/>
      </w:pPr>
      <w:rPr>
        <w:rFonts w:ascii="Arial" w:hAnsi="Arial" w:hint="default"/>
      </w:rPr>
    </w:lvl>
    <w:lvl w:ilvl="8" w:tplc="E4BA4D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DC0E33"/>
    <w:multiLevelType w:val="hybridMultilevel"/>
    <w:tmpl w:val="28B4E3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EF51E92"/>
    <w:multiLevelType w:val="hybridMultilevel"/>
    <w:tmpl w:val="378416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5FB0E87"/>
    <w:multiLevelType w:val="hybridMultilevel"/>
    <w:tmpl w:val="014C268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699E24C1"/>
    <w:multiLevelType w:val="hybridMultilevel"/>
    <w:tmpl w:val="80EC5A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A0D4483"/>
    <w:multiLevelType w:val="hybridMultilevel"/>
    <w:tmpl w:val="0ECE5ECC"/>
    <w:lvl w:ilvl="0" w:tplc="10780FE8">
      <w:start w:val="1"/>
      <w:numFmt w:val="bullet"/>
      <w:lvlText w:val="•"/>
      <w:lvlJc w:val="left"/>
      <w:pPr>
        <w:tabs>
          <w:tab w:val="num" w:pos="720"/>
        </w:tabs>
        <w:ind w:left="720" w:hanging="360"/>
      </w:pPr>
      <w:rPr>
        <w:rFonts w:ascii="Arial" w:hAnsi="Arial" w:hint="default"/>
      </w:rPr>
    </w:lvl>
    <w:lvl w:ilvl="1" w:tplc="B49EC7FC" w:tentative="1">
      <w:start w:val="1"/>
      <w:numFmt w:val="bullet"/>
      <w:lvlText w:val="•"/>
      <w:lvlJc w:val="left"/>
      <w:pPr>
        <w:tabs>
          <w:tab w:val="num" w:pos="1440"/>
        </w:tabs>
        <w:ind w:left="1440" w:hanging="360"/>
      </w:pPr>
      <w:rPr>
        <w:rFonts w:ascii="Arial" w:hAnsi="Arial" w:hint="default"/>
      </w:rPr>
    </w:lvl>
    <w:lvl w:ilvl="2" w:tplc="8F3A3778" w:tentative="1">
      <w:start w:val="1"/>
      <w:numFmt w:val="bullet"/>
      <w:lvlText w:val="•"/>
      <w:lvlJc w:val="left"/>
      <w:pPr>
        <w:tabs>
          <w:tab w:val="num" w:pos="2160"/>
        </w:tabs>
        <w:ind w:left="2160" w:hanging="360"/>
      </w:pPr>
      <w:rPr>
        <w:rFonts w:ascii="Arial" w:hAnsi="Arial" w:hint="default"/>
      </w:rPr>
    </w:lvl>
    <w:lvl w:ilvl="3" w:tplc="69208046" w:tentative="1">
      <w:start w:val="1"/>
      <w:numFmt w:val="bullet"/>
      <w:lvlText w:val="•"/>
      <w:lvlJc w:val="left"/>
      <w:pPr>
        <w:tabs>
          <w:tab w:val="num" w:pos="2880"/>
        </w:tabs>
        <w:ind w:left="2880" w:hanging="360"/>
      </w:pPr>
      <w:rPr>
        <w:rFonts w:ascii="Arial" w:hAnsi="Arial" w:hint="default"/>
      </w:rPr>
    </w:lvl>
    <w:lvl w:ilvl="4" w:tplc="9EE67A64" w:tentative="1">
      <w:start w:val="1"/>
      <w:numFmt w:val="bullet"/>
      <w:lvlText w:val="•"/>
      <w:lvlJc w:val="left"/>
      <w:pPr>
        <w:tabs>
          <w:tab w:val="num" w:pos="3600"/>
        </w:tabs>
        <w:ind w:left="3600" w:hanging="360"/>
      </w:pPr>
      <w:rPr>
        <w:rFonts w:ascii="Arial" w:hAnsi="Arial" w:hint="default"/>
      </w:rPr>
    </w:lvl>
    <w:lvl w:ilvl="5" w:tplc="D6C013CE" w:tentative="1">
      <w:start w:val="1"/>
      <w:numFmt w:val="bullet"/>
      <w:lvlText w:val="•"/>
      <w:lvlJc w:val="left"/>
      <w:pPr>
        <w:tabs>
          <w:tab w:val="num" w:pos="4320"/>
        </w:tabs>
        <w:ind w:left="4320" w:hanging="360"/>
      </w:pPr>
      <w:rPr>
        <w:rFonts w:ascii="Arial" w:hAnsi="Arial" w:hint="default"/>
      </w:rPr>
    </w:lvl>
    <w:lvl w:ilvl="6" w:tplc="2DEE5698" w:tentative="1">
      <w:start w:val="1"/>
      <w:numFmt w:val="bullet"/>
      <w:lvlText w:val="•"/>
      <w:lvlJc w:val="left"/>
      <w:pPr>
        <w:tabs>
          <w:tab w:val="num" w:pos="5040"/>
        </w:tabs>
        <w:ind w:left="5040" w:hanging="360"/>
      </w:pPr>
      <w:rPr>
        <w:rFonts w:ascii="Arial" w:hAnsi="Arial" w:hint="default"/>
      </w:rPr>
    </w:lvl>
    <w:lvl w:ilvl="7" w:tplc="79E6CB6C" w:tentative="1">
      <w:start w:val="1"/>
      <w:numFmt w:val="bullet"/>
      <w:lvlText w:val="•"/>
      <w:lvlJc w:val="left"/>
      <w:pPr>
        <w:tabs>
          <w:tab w:val="num" w:pos="5760"/>
        </w:tabs>
        <w:ind w:left="5760" w:hanging="360"/>
      </w:pPr>
      <w:rPr>
        <w:rFonts w:ascii="Arial" w:hAnsi="Arial" w:hint="default"/>
      </w:rPr>
    </w:lvl>
    <w:lvl w:ilvl="8" w:tplc="A8880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D26F23"/>
    <w:multiLevelType w:val="hybridMultilevel"/>
    <w:tmpl w:val="BB342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1DE2A86"/>
    <w:multiLevelType w:val="hybridMultilevel"/>
    <w:tmpl w:val="454244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6BA04C6"/>
    <w:multiLevelType w:val="hybridMultilevel"/>
    <w:tmpl w:val="A1782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D704E9"/>
    <w:multiLevelType w:val="hybridMultilevel"/>
    <w:tmpl w:val="1E10A13E"/>
    <w:lvl w:ilvl="0" w:tplc="725A85F4">
      <w:start w:val="1"/>
      <w:numFmt w:val="decimal"/>
      <w:lvlText w:val="%1."/>
      <w:lvlJc w:val="left"/>
      <w:pPr>
        <w:tabs>
          <w:tab w:val="num" w:pos="720"/>
        </w:tabs>
        <w:ind w:left="720" w:hanging="360"/>
      </w:pPr>
    </w:lvl>
    <w:lvl w:ilvl="1" w:tplc="5CE2A948">
      <w:start w:val="3678"/>
      <w:numFmt w:val="bullet"/>
      <w:lvlText w:val="•"/>
      <w:lvlJc w:val="left"/>
      <w:pPr>
        <w:tabs>
          <w:tab w:val="num" w:pos="1440"/>
        </w:tabs>
        <w:ind w:left="1440" w:hanging="360"/>
      </w:pPr>
      <w:rPr>
        <w:rFonts w:ascii="Arial" w:hAnsi="Arial" w:hint="default"/>
      </w:rPr>
    </w:lvl>
    <w:lvl w:ilvl="2" w:tplc="BBF42922" w:tentative="1">
      <w:start w:val="1"/>
      <w:numFmt w:val="decimal"/>
      <w:lvlText w:val="%3."/>
      <w:lvlJc w:val="left"/>
      <w:pPr>
        <w:tabs>
          <w:tab w:val="num" w:pos="2160"/>
        </w:tabs>
        <w:ind w:left="2160" w:hanging="360"/>
      </w:pPr>
    </w:lvl>
    <w:lvl w:ilvl="3" w:tplc="78444AAE" w:tentative="1">
      <w:start w:val="1"/>
      <w:numFmt w:val="decimal"/>
      <w:lvlText w:val="%4."/>
      <w:lvlJc w:val="left"/>
      <w:pPr>
        <w:tabs>
          <w:tab w:val="num" w:pos="2880"/>
        </w:tabs>
        <w:ind w:left="2880" w:hanging="360"/>
      </w:pPr>
    </w:lvl>
    <w:lvl w:ilvl="4" w:tplc="455666A2" w:tentative="1">
      <w:start w:val="1"/>
      <w:numFmt w:val="decimal"/>
      <w:lvlText w:val="%5."/>
      <w:lvlJc w:val="left"/>
      <w:pPr>
        <w:tabs>
          <w:tab w:val="num" w:pos="3600"/>
        </w:tabs>
        <w:ind w:left="3600" w:hanging="360"/>
      </w:pPr>
    </w:lvl>
    <w:lvl w:ilvl="5" w:tplc="C1E4DD84" w:tentative="1">
      <w:start w:val="1"/>
      <w:numFmt w:val="decimal"/>
      <w:lvlText w:val="%6."/>
      <w:lvlJc w:val="left"/>
      <w:pPr>
        <w:tabs>
          <w:tab w:val="num" w:pos="4320"/>
        </w:tabs>
        <w:ind w:left="4320" w:hanging="360"/>
      </w:pPr>
    </w:lvl>
    <w:lvl w:ilvl="6" w:tplc="CE5646F2" w:tentative="1">
      <w:start w:val="1"/>
      <w:numFmt w:val="decimal"/>
      <w:lvlText w:val="%7."/>
      <w:lvlJc w:val="left"/>
      <w:pPr>
        <w:tabs>
          <w:tab w:val="num" w:pos="5040"/>
        </w:tabs>
        <w:ind w:left="5040" w:hanging="360"/>
      </w:pPr>
    </w:lvl>
    <w:lvl w:ilvl="7" w:tplc="12CA4404" w:tentative="1">
      <w:start w:val="1"/>
      <w:numFmt w:val="decimal"/>
      <w:lvlText w:val="%8."/>
      <w:lvlJc w:val="left"/>
      <w:pPr>
        <w:tabs>
          <w:tab w:val="num" w:pos="5760"/>
        </w:tabs>
        <w:ind w:left="5760" w:hanging="360"/>
      </w:pPr>
    </w:lvl>
    <w:lvl w:ilvl="8" w:tplc="BD9C87E8" w:tentative="1">
      <w:start w:val="1"/>
      <w:numFmt w:val="decimal"/>
      <w:lvlText w:val="%9."/>
      <w:lvlJc w:val="left"/>
      <w:pPr>
        <w:tabs>
          <w:tab w:val="num" w:pos="6480"/>
        </w:tabs>
        <w:ind w:left="6480" w:hanging="360"/>
      </w:pPr>
    </w:lvl>
  </w:abstractNum>
  <w:abstractNum w:abstractNumId="29" w15:restartNumberingAfterBreak="0">
    <w:nsid w:val="7E793A7E"/>
    <w:multiLevelType w:val="hybridMultilevel"/>
    <w:tmpl w:val="F1667C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
  </w:num>
  <w:num w:numId="3">
    <w:abstractNumId w:val="9"/>
  </w:num>
  <w:num w:numId="4">
    <w:abstractNumId w:val="19"/>
  </w:num>
  <w:num w:numId="5">
    <w:abstractNumId w:val="24"/>
  </w:num>
  <w:num w:numId="6">
    <w:abstractNumId w:val="0"/>
  </w:num>
  <w:num w:numId="7">
    <w:abstractNumId w:val="10"/>
  </w:num>
  <w:num w:numId="8">
    <w:abstractNumId w:val="28"/>
  </w:num>
  <w:num w:numId="9">
    <w:abstractNumId w:val="12"/>
  </w:num>
  <w:num w:numId="10">
    <w:abstractNumId w:val="1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7"/>
  </w:num>
  <w:num w:numId="14">
    <w:abstractNumId w:val="18"/>
  </w:num>
  <w:num w:numId="15">
    <w:abstractNumId w:val="3"/>
  </w:num>
  <w:num w:numId="16">
    <w:abstractNumId w:val="13"/>
  </w:num>
  <w:num w:numId="17">
    <w:abstractNumId w:val="2"/>
  </w:num>
  <w:num w:numId="18">
    <w:abstractNumId w:val="21"/>
  </w:num>
  <w:num w:numId="19">
    <w:abstractNumId w:val="25"/>
  </w:num>
  <w:num w:numId="20">
    <w:abstractNumId w:val="23"/>
  </w:num>
  <w:num w:numId="21">
    <w:abstractNumId w:val="6"/>
  </w:num>
  <w:num w:numId="22">
    <w:abstractNumId w:val="22"/>
  </w:num>
  <w:num w:numId="23">
    <w:abstractNumId w:val="20"/>
  </w:num>
  <w:num w:numId="24">
    <w:abstractNumId w:val="29"/>
  </w:num>
  <w:num w:numId="25">
    <w:abstractNumId w:val="14"/>
  </w:num>
  <w:num w:numId="26">
    <w:abstractNumId w:val="4"/>
  </w:num>
  <w:num w:numId="27">
    <w:abstractNumId w:val="16"/>
  </w:num>
  <w:num w:numId="28">
    <w:abstractNumId w:val="26"/>
  </w:num>
  <w:num w:numId="29">
    <w:abstractNumId w:val="8"/>
  </w:num>
  <w:num w:numId="30">
    <w:abstractNumId w:val="5"/>
  </w:num>
  <w:num w:numId="31">
    <w:abstractNumId w:val="4"/>
  </w:num>
  <w:num w:numId="32">
    <w:abstractNumId w:val="1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1AF"/>
    <w:rsid w:val="0001429F"/>
    <w:rsid w:val="000165CA"/>
    <w:rsid w:val="00021913"/>
    <w:rsid w:val="00034CDB"/>
    <w:rsid w:val="00066625"/>
    <w:rsid w:val="00076B18"/>
    <w:rsid w:val="000A5821"/>
    <w:rsid w:val="000C1F57"/>
    <w:rsid w:val="000D1764"/>
    <w:rsid w:val="000F1770"/>
    <w:rsid w:val="00101B4C"/>
    <w:rsid w:val="00106C95"/>
    <w:rsid w:val="00123EEE"/>
    <w:rsid w:val="00124053"/>
    <w:rsid w:val="001343FD"/>
    <w:rsid w:val="00173ECA"/>
    <w:rsid w:val="001B0683"/>
    <w:rsid w:val="001B0E9E"/>
    <w:rsid w:val="001C0CA9"/>
    <w:rsid w:val="001C0FE7"/>
    <w:rsid w:val="001C497B"/>
    <w:rsid w:val="00206B13"/>
    <w:rsid w:val="00213C5C"/>
    <w:rsid w:val="002346E6"/>
    <w:rsid w:val="00240061"/>
    <w:rsid w:val="0024392D"/>
    <w:rsid w:val="002672E6"/>
    <w:rsid w:val="00276A5B"/>
    <w:rsid w:val="002813D1"/>
    <w:rsid w:val="002907C8"/>
    <w:rsid w:val="002C16C3"/>
    <w:rsid w:val="002C5BB3"/>
    <w:rsid w:val="003108C1"/>
    <w:rsid w:val="003344A0"/>
    <w:rsid w:val="003471E2"/>
    <w:rsid w:val="00351FF1"/>
    <w:rsid w:val="003B4909"/>
    <w:rsid w:val="003D671A"/>
    <w:rsid w:val="0041271E"/>
    <w:rsid w:val="004301AF"/>
    <w:rsid w:val="004557A7"/>
    <w:rsid w:val="004B33AC"/>
    <w:rsid w:val="0052573B"/>
    <w:rsid w:val="005268C1"/>
    <w:rsid w:val="005316EE"/>
    <w:rsid w:val="00555CF1"/>
    <w:rsid w:val="00576EFC"/>
    <w:rsid w:val="00597E84"/>
    <w:rsid w:val="005A1188"/>
    <w:rsid w:val="005A1EFC"/>
    <w:rsid w:val="005B0781"/>
    <w:rsid w:val="005B2EDF"/>
    <w:rsid w:val="005D7206"/>
    <w:rsid w:val="006067B5"/>
    <w:rsid w:val="006279CE"/>
    <w:rsid w:val="00667226"/>
    <w:rsid w:val="0066799C"/>
    <w:rsid w:val="006701B1"/>
    <w:rsid w:val="006A3455"/>
    <w:rsid w:val="006C7A3C"/>
    <w:rsid w:val="006F4C89"/>
    <w:rsid w:val="00715D78"/>
    <w:rsid w:val="00722DEC"/>
    <w:rsid w:val="007355CF"/>
    <w:rsid w:val="00762183"/>
    <w:rsid w:val="00773978"/>
    <w:rsid w:val="00783D2F"/>
    <w:rsid w:val="00792433"/>
    <w:rsid w:val="00795720"/>
    <w:rsid w:val="00795BCC"/>
    <w:rsid w:val="007B219E"/>
    <w:rsid w:val="007D7E5D"/>
    <w:rsid w:val="007E3D4B"/>
    <w:rsid w:val="007E3E5B"/>
    <w:rsid w:val="008540CF"/>
    <w:rsid w:val="00862D67"/>
    <w:rsid w:val="0087323A"/>
    <w:rsid w:val="008C17DA"/>
    <w:rsid w:val="008C38D5"/>
    <w:rsid w:val="008D780E"/>
    <w:rsid w:val="008F4D5A"/>
    <w:rsid w:val="0090142A"/>
    <w:rsid w:val="00956367"/>
    <w:rsid w:val="0097365A"/>
    <w:rsid w:val="00980B1B"/>
    <w:rsid w:val="00984275"/>
    <w:rsid w:val="00992113"/>
    <w:rsid w:val="009B59F2"/>
    <w:rsid w:val="009D03A3"/>
    <w:rsid w:val="009D4EA4"/>
    <w:rsid w:val="009F35BB"/>
    <w:rsid w:val="00A021DC"/>
    <w:rsid w:val="00A61C49"/>
    <w:rsid w:val="00A81A28"/>
    <w:rsid w:val="00A864D5"/>
    <w:rsid w:val="00AB15B1"/>
    <w:rsid w:val="00AC3869"/>
    <w:rsid w:val="00AF6E32"/>
    <w:rsid w:val="00B42206"/>
    <w:rsid w:val="00B50B63"/>
    <w:rsid w:val="00B516EA"/>
    <w:rsid w:val="00B87FB0"/>
    <w:rsid w:val="00BA009F"/>
    <w:rsid w:val="00BB1109"/>
    <w:rsid w:val="00BB4117"/>
    <w:rsid w:val="00BC498E"/>
    <w:rsid w:val="00C23193"/>
    <w:rsid w:val="00C348F2"/>
    <w:rsid w:val="00C42ACC"/>
    <w:rsid w:val="00C71016"/>
    <w:rsid w:val="00C713E4"/>
    <w:rsid w:val="00C815D5"/>
    <w:rsid w:val="00C9039A"/>
    <w:rsid w:val="00C97244"/>
    <w:rsid w:val="00CB0394"/>
    <w:rsid w:val="00CC35E7"/>
    <w:rsid w:val="00CC69A4"/>
    <w:rsid w:val="00D100CD"/>
    <w:rsid w:val="00D338AD"/>
    <w:rsid w:val="00D45ECB"/>
    <w:rsid w:val="00DD7AFC"/>
    <w:rsid w:val="00DE626C"/>
    <w:rsid w:val="00DE67AF"/>
    <w:rsid w:val="00E44183"/>
    <w:rsid w:val="00E52C60"/>
    <w:rsid w:val="00EB1D47"/>
    <w:rsid w:val="00EC384E"/>
    <w:rsid w:val="00F117E4"/>
    <w:rsid w:val="00F249BF"/>
    <w:rsid w:val="00F32F7E"/>
    <w:rsid w:val="00F554AE"/>
    <w:rsid w:val="00F643D7"/>
    <w:rsid w:val="00F647E0"/>
    <w:rsid w:val="00F91673"/>
    <w:rsid w:val="00FA3E08"/>
    <w:rsid w:val="00FC3515"/>
    <w:rsid w:val="00FD04AC"/>
    <w:rsid w:val="00FD3E17"/>
    <w:rsid w:val="00FF2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EABA0"/>
  <w15:docId w15:val="{B506DABA-01AF-4261-8BEC-8FADA2096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ind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5636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636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56367"/>
    <w:pPr>
      <w:keepNext/>
      <w:keepLines/>
      <w:numPr>
        <w:ilvl w:val="2"/>
        <w:numId w:val="1"/>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95636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5636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5636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5636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563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563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3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367"/>
  </w:style>
  <w:style w:type="paragraph" w:styleId="Footer">
    <w:name w:val="footer"/>
    <w:basedOn w:val="Normal"/>
    <w:link w:val="FooterChar"/>
    <w:uiPriority w:val="99"/>
    <w:unhideWhenUsed/>
    <w:rsid w:val="009563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367"/>
  </w:style>
  <w:style w:type="paragraph" w:styleId="ListParagraph">
    <w:name w:val="List Paragraph"/>
    <w:basedOn w:val="Normal"/>
    <w:uiPriority w:val="34"/>
    <w:qFormat/>
    <w:rsid w:val="00956367"/>
    <w:pPr>
      <w:ind w:left="720"/>
      <w:contextualSpacing/>
    </w:pPr>
  </w:style>
  <w:style w:type="character" w:customStyle="1" w:styleId="Heading1Char">
    <w:name w:val="Heading 1 Char"/>
    <w:basedOn w:val="DefaultParagraphFont"/>
    <w:link w:val="Heading1"/>
    <w:uiPriority w:val="9"/>
    <w:rsid w:val="009563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636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56367"/>
    <w:rPr>
      <w:rFonts w:asciiTheme="majorHAnsi" w:eastAsiaTheme="majorEastAsia" w:hAnsiTheme="majorHAnsi" w:cstheme="majorBidi"/>
      <w:color w:val="1F4D78" w:themeColor="accent1" w:themeShade="7F"/>
      <w:szCs w:val="24"/>
    </w:rPr>
  </w:style>
  <w:style w:type="character" w:customStyle="1" w:styleId="Heading4Char">
    <w:name w:val="Heading 4 Char"/>
    <w:basedOn w:val="DefaultParagraphFont"/>
    <w:link w:val="Heading4"/>
    <w:uiPriority w:val="9"/>
    <w:semiHidden/>
    <w:rsid w:val="0095636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5636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5636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5636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5636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56367"/>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0219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913"/>
    <w:rPr>
      <w:rFonts w:ascii="Segoe UI" w:hAnsi="Segoe UI" w:cs="Segoe UI"/>
      <w:sz w:val="18"/>
      <w:szCs w:val="18"/>
    </w:rPr>
  </w:style>
  <w:style w:type="character" w:styleId="CommentReference">
    <w:name w:val="annotation reference"/>
    <w:basedOn w:val="DefaultParagraphFont"/>
    <w:uiPriority w:val="99"/>
    <w:semiHidden/>
    <w:unhideWhenUsed/>
    <w:rsid w:val="005D7206"/>
    <w:rPr>
      <w:sz w:val="16"/>
      <w:szCs w:val="16"/>
    </w:rPr>
  </w:style>
  <w:style w:type="paragraph" w:styleId="CommentText">
    <w:name w:val="annotation text"/>
    <w:basedOn w:val="Normal"/>
    <w:link w:val="CommentTextChar"/>
    <w:uiPriority w:val="99"/>
    <w:semiHidden/>
    <w:unhideWhenUsed/>
    <w:rsid w:val="005D7206"/>
    <w:pPr>
      <w:spacing w:line="240" w:lineRule="auto"/>
    </w:pPr>
    <w:rPr>
      <w:sz w:val="20"/>
      <w:szCs w:val="20"/>
    </w:rPr>
  </w:style>
  <w:style w:type="character" w:customStyle="1" w:styleId="CommentTextChar">
    <w:name w:val="Comment Text Char"/>
    <w:basedOn w:val="DefaultParagraphFont"/>
    <w:link w:val="CommentText"/>
    <w:uiPriority w:val="99"/>
    <w:semiHidden/>
    <w:rsid w:val="005D7206"/>
    <w:rPr>
      <w:sz w:val="20"/>
      <w:szCs w:val="20"/>
    </w:rPr>
  </w:style>
  <w:style w:type="paragraph" w:styleId="CommentSubject">
    <w:name w:val="annotation subject"/>
    <w:basedOn w:val="CommentText"/>
    <w:next w:val="CommentText"/>
    <w:link w:val="CommentSubjectChar"/>
    <w:uiPriority w:val="99"/>
    <w:semiHidden/>
    <w:unhideWhenUsed/>
    <w:rsid w:val="005D7206"/>
    <w:rPr>
      <w:b/>
      <w:bCs/>
    </w:rPr>
  </w:style>
  <w:style w:type="character" w:customStyle="1" w:styleId="CommentSubjectChar">
    <w:name w:val="Comment Subject Char"/>
    <w:basedOn w:val="CommentTextChar"/>
    <w:link w:val="CommentSubject"/>
    <w:uiPriority w:val="99"/>
    <w:semiHidden/>
    <w:rsid w:val="005D7206"/>
    <w:rPr>
      <w:b/>
      <w:bCs/>
      <w:sz w:val="20"/>
      <w:szCs w:val="20"/>
    </w:rPr>
  </w:style>
  <w:style w:type="table" w:styleId="TableGrid">
    <w:name w:val="Table Grid"/>
    <w:basedOn w:val="TableNormal"/>
    <w:uiPriority w:val="39"/>
    <w:rsid w:val="00C97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C35E7"/>
    <w:rPr>
      <w:rFonts w:cs="Times New Roman"/>
      <w:szCs w:val="24"/>
    </w:rPr>
  </w:style>
  <w:style w:type="character" w:styleId="Emphasis">
    <w:name w:val="Emphasis"/>
    <w:basedOn w:val="DefaultParagraphFont"/>
    <w:uiPriority w:val="20"/>
    <w:qFormat/>
    <w:rsid w:val="00C9039A"/>
    <w:rPr>
      <w:b/>
      <w:bCs/>
      <w:i w:val="0"/>
      <w:iCs w:val="0"/>
    </w:rPr>
  </w:style>
  <w:style w:type="character" w:customStyle="1" w:styleId="st1">
    <w:name w:val="st1"/>
    <w:basedOn w:val="DefaultParagraphFont"/>
    <w:rsid w:val="00C9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79672">
      <w:bodyDiv w:val="1"/>
      <w:marLeft w:val="0"/>
      <w:marRight w:val="0"/>
      <w:marTop w:val="0"/>
      <w:marBottom w:val="0"/>
      <w:divBdr>
        <w:top w:val="none" w:sz="0" w:space="0" w:color="auto"/>
        <w:left w:val="none" w:sz="0" w:space="0" w:color="auto"/>
        <w:bottom w:val="none" w:sz="0" w:space="0" w:color="auto"/>
        <w:right w:val="none" w:sz="0" w:space="0" w:color="auto"/>
      </w:divBdr>
    </w:div>
    <w:div w:id="299114404">
      <w:bodyDiv w:val="1"/>
      <w:marLeft w:val="0"/>
      <w:marRight w:val="0"/>
      <w:marTop w:val="0"/>
      <w:marBottom w:val="0"/>
      <w:divBdr>
        <w:top w:val="none" w:sz="0" w:space="0" w:color="auto"/>
        <w:left w:val="none" w:sz="0" w:space="0" w:color="auto"/>
        <w:bottom w:val="none" w:sz="0" w:space="0" w:color="auto"/>
        <w:right w:val="none" w:sz="0" w:space="0" w:color="auto"/>
      </w:divBdr>
      <w:divsChild>
        <w:div w:id="1649742908">
          <w:marLeft w:val="446"/>
          <w:marRight w:val="0"/>
          <w:marTop w:val="0"/>
          <w:marBottom w:val="0"/>
          <w:divBdr>
            <w:top w:val="none" w:sz="0" w:space="0" w:color="auto"/>
            <w:left w:val="none" w:sz="0" w:space="0" w:color="auto"/>
            <w:bottom w:val="none" w:sz="0" w:space="0" w:color="auto"/>
            <w:right w:val="none" w:sz="0" w:space="0" w:color="auto"/>
          </w:divBdr>
        </w:div>
        <w:div w:id="1319922078">
          <w:marLeft w:val="446"/>
          <w:marRight w:val="0"/>
          <w:marTop w:val="0"/>
          <w:marBottom w:val="0"/>
          <w:divBdr>
            <w:top w:val="none" w:sz="0" w:space="0" w:color="auto"/>
            <w:left w:val="none" w:sz="0" w:space="0" w:color="auto"/>
            <w:bottom w:val="none" w:sz="0" w:space="0" w:color="auto"/>
            <w:right w:val="none" w:sz="0" w:space="0" w:color="auto"/>
          </w:divBdr>
        </w:div>
        <w:div w:id="1054740181">
          <w:marLeft w:val="1166"/>
          <w:marRight w:val="0"/>
          <w:marTop w:val="0"/>
          <w:marBottom w:val="0"/>
          <w:divBdr>
            <w:top w:val="none" w:sz="0" w:space="0" w:color="auto"/>
            <w:left w:val="none" w:sz="0" w:space="0" w:color="auto"/>
            <w:bottom w:val="none" w:sz="0" w:space="0" w:color="auto"/>
            <w:right w:val="none" w:sz="0" w:space="0" w:color="auto"/>
          </w:divBdr>
        </w:div>
      </w:divsChild>
    </w:div>
    <w:div w:id="362248759">
      <w:bodyDiv w:val="1"/>
      <w:marLeft w:val="0"/>
      <w:marRight w:val="0"/>
      <w:marTop w:val="0"/>
      <w:marBottom w:val="0"/>
      <w:divBdr>
        <w:top w:val="none" w:sz="0" w:space="0" w:color="auto"/>
        <w:left w:val="none" w:sz="0" w:space="0" w:color="auto"/>
        <w:bottom w:val="none" w:sz="0" w:space="0" w:color="auto"/>
        <w:right w:val="none" w:sz="0" w:space="0" w:color="auto"/>
      </w:divBdr>
    </w:div>
    <w:div w:id="392894929">
      <w:bodyDiv w:val="1"/>
      <w:marLeft w:val="0"/>
      <w:marRight w:val="0"/>
      <w:marTop w:val="0"/>
      <w:marBottom w:val="0"/>
      <w:divBdr>
        <w:top w:val="none" w:sz="0" w:space="0" w:color="auto"/>
        <w:left w:val="none" w:sz="0" w:space="0" w:color="auto"/>
        <w:bottom w:val="none" w:sz="0" w:space="0" w:color="auto"/>
        <w:right w:val="none" w:sz="0" w:space="0" w:color="auto"/>
      </w:divBdr>
      <w:divsChild>
        <w:div w:id="820006465">
          <w:marLeft w:val="547"/>
          <w:marRight w:val="0"/>
          <w:marTop w:val="0"/>
          <w:marBottom w:val="0"/>
          <w:divBdr>
            <w:top w:val="none" w:sz="0" w:space="0" w:color="auto"/>
            <w:left w:val="none" w:sz="0" w:space="0" w:color="auto"/>
            <w:bottom w:val="none" w:sz="0" w:space="0" w:color="auto"/>
            <w:right w:val="none" w:sz="0" w:space="0" w:color="auto"/>
          </w:divBdr>
        </w:div>
        <w:div w:id="1116296409">
          <w:marLeft w:val="1267"/>
          <w:marRight w:val="0"/>
          <w:marTop w:val="0"/>
          <w:marBottom w:val="0"/>
          <w:divBdr>
            <w:top w:val="none" w:sz="0" w:space="0" w:color="auto"/>
            <w:left w:val="none" w:sz="0" w:space="0" w:color="auto"/>
            <w:bottom w:val="none" w:sz="0" w:space="0" w:color="auto"/>
            <w:right w:val="none" w:sz="0" w:space="0" w:color="auto"/>
          </w:divBdr>
        </w:div>
        <w:div w:id="899176110">
          <w:marLeft w:val="1267"/>
          <w:marRight w:val="0"/>
          <w:marTop w:val="0"/>
          <w:marBottom w:val="0"/>
          <w:divBdr>
            <w:top w:val="none" w:sz="0" w:space="0" w:color="auto"/>
            <w:left w:val="none" w:sz="0" w:space="0" w:color="auto"/>
            <w:bottom w:val="none" w:sz="0" w:space="0" w:color="auto"/>
            <w:right w:val="none" w:sz="0" w:space="0" w:color="auto"/>
          </w:divBdr>
        </w:div>
        <w:div w:id="1595898617">
          <w:marLeft w:val="547"/>
          <w:marRight w:val="0"/>
          <w:marTop w:val="0"/>
          <w:marBottom w:val="0"/>
          <w:divBdr>
            <w:top w:val="none" w:sz="0" w:space="0" w:color="auto"/>
            <w:left w:val="none" w:sz="0" w:space="0" w:color="auto"/>
            <w:bottom w:val="none" w:sz="0" w:space="0" w:color="auto"/>
            <w:right w:val="none" w:sz="0" w:space="0" w:color="auto"/>
          </w:divBdr>
        </w:div>
        <w:div w:id="1241452494">
          <w:marLeft w:val="1267"/>
          <w:marRight w:val="0"/>
          <w:marTop w:val="0"/>
          <w:marBottom w:val="0"/>
          <w:divBdr>
            <w:top w:val="none" w:sz="0" w:space="0" w:color="auto"/>
            <w:left w:val="none" w:sz="0" w:space="0" w:color="auto"/>
            <w:bottom w:val="none" w:sz="0" w:space="0" w:color="auto"/>
            <w:right w:val="none" w:sz="0" w:space="0" w:color="auto"/>
          </w:divBdr>
        </w:div>
        <w:div w:id="1552115396">
          <w:marLeft w:val="1267"/>
          <w:marRight w:val="0"/>
          <w:marTop w:val="0"/>
          <w:marBottom w:val="0"/>
          <w:divBdr>
            <w:top w:val="none" w:sz="0" w:space="0" w:color="auto"/>
            <w:left w:val="none" w:sz="0" w:space="0" w:color="auto"/>
            <w:bottom w:val="none" w:sz="0" w:space="0" w:color="auto"/>
            <w:right w:val="none" w:sz="0" w:space="0" w:color="auto"/>
          </w:divBdr>
        </w:div>
      </w:divsChild>
    </w:div>
    <w:div w:id="422533764">
      <w:bodyDiv w:val="1"/>
      <w:marLeft w:val="0"/>
      <w:marRight w:val="0"/>
      <w:marTop w:val="0"/>
      <w:marBottom w:val="0"/>
      <w:divBdr>
        <w:top w:val="none" w:sz="0" w:space="0" w:color="auto"/>
        <w:left w:val="none" w:sz="0" w:space="0" w:color="auto"/>
        <w:bottom w:val="none" w:sz="0" w:space="0" w:color="auto"/>
        <w:right w:val="none" w:sz="0" w:space="0" w:color="auto"/>
      </w:divBdr>
    </w:div>
    <w:div w:id="672492672">
      <w:bodyDiv w:val="1"/>
      <w:marLeft w:val="0"/>
      <w:marRight w:val="0"/>
      <w:marTop w:val="0"/>
      <w:marBottom w:val="0"/>
      <w:divBdr>
        <w:top w:val="none" w:sz="0" w:space="0" w:color="auto"/>
        <w:left w:val="none" w:sz="0" w:space="0" w:color="auto"/>
        <w:bottom w:val="none" w:sz="0" w:space="0" w:color="auto"/>
        <w:right w:val="none" w:sz="0" w:space="0" w:color="auto"/>
      </w:divBdr>
    </w:div>
    <w:div w:id="719088878">
      <w:bodyDiv w:val="1"/>
      <w:marLeft w:val="0"/>
      <w:marRight w:val="0"/>
      <w:marTop w:val="0"/>
      <w:marBottom w:val="0"/>
      <w:divBdr>
        <w:top w:val="none" w:sz="0" w:space="0" w:color="auto"/>
        <w:left w:val="none" w:sz="0" w:space="0" w:color="auto"/>
        <w:bottom w:val="none" w:sz="0" w:space="0" w:color="auto"/>
        <w:right w:val="none" w:sz="0" w:space="0" w:color="auto"/>
      </w:divBdr>
    </w:div>
    <w:div w:id="829830936">
      <w:bodyDiv w:val="1"/>
      <w:marLeft w:val="0"/>
      <w:marRight w:val="0"/>
      <w:marTop w:val="0"/>
      <w:marBottom w:val="0"/>
      <w:divBdr>
        <w:top w:val="none" w:sz="0" w:space="0" w:color="auto"/>
        <w:left w:val="none" w:sz="0" w:space="0" w:color="auto"/>
        <w:bottom w:val="none" w:sz="0" w:space="0" w:color="auto"/>
        <w:right w:val="none" w:sz="0" w:space="0" w:color="auto"/>
      </w:divBdr>
    </w:div>
    <w:div w:id="1150362149">
      <w:bodyDiv w:val="1"/>
      <w:marLeft w:val="0"/>
      <w:marRight w:val="0"/>
      <w:marTop w:val="0"/>
      <w:marBottom w:val="0"/>
      <w:divBdr>
        <w:top w:val="none" w:sz="0" w:space="0" w:color="auto"/>
        <w:left w:val="none" w:sz="0" w:space="0" w:color="auto"/>
        <w:bottom w:val="none" w:sz="0" w:space="0" w:color="auto"/>
        <w:right w:val="none" w:sz="0" w:space="0" w:color="auto"/>
      </w:divBdr>
      <w:divsChild>
        <w:div w:id="978153004">
          <w:marLeft w:val="446"/>
          <w:marRight w:val="0"/>
          <w:marTop w:val="0"/>
          <w:marBottom w:val="0"/>
          <w:divBdr>
            <w:top w:val="none" w:sz="0" w:space="0" w:color="auto"/>
            <w:left w:val="none" w:sz="0" w:space="0" w:color="auto"/>
            <w:bottom w:val="none" w:sz="0" w:space="0" w:color="auto"/>
            <w:right w:val="none" w:sz="0" w:space="0" w:color="auto"/>
          </w:divBdr>
        </w:div>
        <w:div w:id="1769499082">
          <w:marLeft w:val="1166"/>
          <w:marRight w:val="0"/>
          <w:marTop w:val="0"/>
          <w:marBottom w:val="0"/>
          <w:divBdr>
            <w:top w:val="none" w:sz="0" w:space="0" w:color="auto"/>
            <w:left w:val="none" w:sz="0" w:space="0" w:color="auto"/>
            <w:bottom w:val="none" w:sz="0" w:space="0" w:color="auto"/>
            <w:right w:val="none" w:sz="0" w:space="0" w:color="auto"/>
          </w:divBdr>
        </w:div>
        <w:div w:id="1734042463">
          <w:marLeft w:val="1166"/>
          <w:marRight w:val="0"/>
          <w:marTop w:val="0"/>
          <w:marBottom w:val="0"/>
          <w:divBdr>
            <w:top w:val="none" w:sz="0" w:space="0" w:color="auto"/>
            <w:left w:val="none" w:sz="0" w:space="0" w:color="auto"/>
            <w:bottom w:val="none" w:sz="0" w:space="0" w:color="auto"/>
            <w:right w:val="none" w:sz="0" w:space="0" w:color="auto"/>
          </w:divBdr>
        </w:div>
        <w:div w:id="82773815">
          <w:marLeft w:val="446"/>
          <w:marRight w:val="0"/>
          <w:marTop w:val="0"/>
          <w:marBottom w:val="0"/>
          <w:divBdr>
            <w:top w:val="none" w:sz="0" w:space="0" w:color="auto"/>
            <w:left w:val="none" w:sz="0" w:space="0" w:color="auto"/>
            <w:bottom w:val="none" w:sz="0" w:space="0" w:color="auto"/>
            <w:right w:val="none" w:sz="0" w:space="0" w:color="auto"/>
          </w:divBdr>
        </w:div>
        <w:div w:id="1835342856">
          <w:marLeft w:val="446"/>
          <w:marRight w:val="0"/>
          <w:marTop w:val="0"/>
          <w:marBottom w:val="0"/>
          <w:divBdr>
            <w:top w:val="none" w:sz="0" w:space="0" w:color="auto"/>
            <w:left w:val="none" w:sz="0" w:space="0" w:color="auto"/>
            <w:bottom w:val="none" w:sz="0" w:space="0" w:color="auto"/>
            <w:right w:val="none" w:sz="0" w:space="0" w:color="auto"/>
          </w:divBdr>
        </w:div>
        <w:div w:id="1481269313">
          <w:marLeft w:val="446"/>
          <w:marRight w:val="0"/>
          <w:marTop w:val="0"/>
          <w:marBottom w:val="0"/>
          <w:divBdr>
            <w:top w:val="none" w:sz="0" w:space="0" w:color="auto"/>
            <w:left w:val="none" w:sz="0" w:space="0" w:color="auto"/>
            <w:bottom w:val="none" w:sz="0" w:space="0" w:color="auto"/>
            <w:right w:val="none" w:sz="0" w:space="0" w:color="auto"/>
          </w:divBdr>
        </w:div>
      </w:divsChild>
    </w:div>
    <w:div w:id="1187020306">
      <w:bodyDiv w:val="1"/>
      <w:marLeft w:val="0"/>
      <w:marRight w:val="0"/>
      <w:marTop w:val="0"/>
      <w:marBottom w:val="0"/>
      <w:divBdr>
        <w:top w:val="none" w:sz="0" w:space="0" w:color="auto"/>
        <w:left w:val="none" w:sz="0" w:space="0" w:color="auto"/>
        <w:bottom w:val="none" w:sz="0" w:space="0" w:color="auto"/>
        <w:right w:val="none" w:sz="0" w:space="0" w:color="auto"/>
      </w:divBdr>
    </w:div>
    <w:div w:id="1254968633">
      <w:bodyDiv w:val="1"/>
      <w:marLeft w:val="0"/>
      <w:marRight w:val="0"/>
      <w:marTop w:val="0"/>
      <w:marBottom w:val="0"/>
      <w:divBdr>
        <w:top w:val="none" w:sz="0" w:space="0" w:color="auto"/>
        <w:left w:val="none" w:sz="0" w:space="0" w:color="auto"/>
        <w:bottom w:val="none" w:sz="0" w:space="0" w:color="auto"/>
        <w:right w:val="none" w:sz="0" w:space="0" w:color="auto"/>
      </w:divBdr>
    </w:div>
    <w:div w:id="1317539729">
      <w:bodyDiv w:val="1"/>
      <w:marLeft w:val="0"/>
      <w:marRight w:val="0"/>
      <w:marTop w:val="0"/>
      <w:marBottom w:val="0"/>
      <w:divBdr>
        <w:top w:val="none" w:sz="0" w:space="0" w:color="auto"/>
        <w:left w:val="none" w:sz="0" w:space="0" w:color="auto"/>
        <w:bottom w:val="none" w:sz="0" w:space="0" w:color="auto"/>
        <w:right w:val="none" w:sz="0" w:space="0" w:color="auto"/>
      </w:divBdr>
      <w:divsChild>
        <w:div w:id="1309626236">
          <w:marLeft w:val="446"/>
          <w:marRight w:val="0"/>
          <w:marTop w:val="0"/>
          <w:marBottom w:val="0"/>
          <w:divBdr>
            <w:top w:val="none" w:sz="0" w:space="0" w:color="auto"/>
            <w:left w:val="none" w:sz="0" w:space="0" w:color="auto"/>
            <w:bottom w:val="none" w:sz="0" w:space="0" w:color="auto"/>
            <w:right w:val="none" w:sz="0" w:space="0" w:color="auto"/>
          </w:divBdr>
        </w:div>
        <w:div w:id="139930263">
          <w:marLeft w:val="446"/>
          <w:marRight w:val="0"/>
          <w:marTop w:val="0"/>
          <w:marBottom w:val="0"/>
          <w:divBdr>
            <w:top w:val="none" w:sz="0" w:space="0" w:color="auto"/>
            <w:left w:val="none" w:sz="0" w:space="0" w:color="auto"/>
            <w:bottom w:val="none" w:sz="0" w:space="0" w:color="auto"/>
            <w:right w:val="none" w:sz="0" w:space="0" w:color="auto"/>
          </w:divBdr>
        </w:div>
        <w:div w:id="1723629531">
          <w:marLeft w:val="446"/>
          <w:marRight w:val="0"/>
          <w:marTop w:val="0"/>
          <w:marBottom w:val="0"/>
          <w:divBdr>
            <w:top w:val="none" w:sz="0" w:space="0" w:color="auto"/>
            <w:left w:val="none" w:sz="0" w:space="0" w:color="auto"/>
            <w:bottom w:val="none" w:sz="0" w:space="0" w:color="auto"/>
            <w:right w:val="none" w:sz="0" w:space="0" w:color="auto"/>
          </w:divBdr>
        </w:div>
        <w:div w:id="775953082">
          <w:marLeft w:val="446"/>
          <w:marRight w:val="0"/>
          <w:marTop w:val="0"/>
          <w:marBottom w:val="0"/>
          <w:divBdr>
            <w:top w:val="none" w:sz="0" w:space="0" w:color="auto"/>
            <w:left w:val="none" w:sz="0" w:space="0" w:color="auto"/>
            <w:bottom w:val="none" w:sz="0" w:space="0" w:color="auto"/>
            <w:right w:val="none" w:sz="0" w:space="0" w:color="auto"/>
          </w:divBdr>
        </w:div>
      </w:divsChild>
    </w:div>
    <w:div w:id="1574582574">
      <w:bodyDiv w:val="1"/>
      <w:marLeft w:val="0"/>
      <w:marRight w:val="0"/>
      <w:marTop w:val="0"/>
      <w:marBottom w:val="0"/>
      <w:divBdr>
        <w:top w:val="none" w:sz="0" w:space="0" w:color="auto"/>
        <w:left w:val="none" w:sz="0" w:space="0" w:color="auto"/>
        <w:bottom w:val="none" w:sz="0" w:space="0" w:color="auto"/>
        <w:right w:val="none" w:sz="0" w:space="0" w:color="auto"/>
      </w:divBdr>
    </w:div>
    <w:div w:id="1617440894">
      <w:bodyDiv w:val="1"/>
      <w:marLeft w:val="0"/>
      <w:marRight w:val="0"/>
      <w:marTop w:val="0"/>
      <w:marBottom w:val="0"/>
      <w:divBdr>
        <w:top w:val="none" w:sz="0" w:space="0" w:color="auto"/>
        <w:left w:val="none" w:sz="0" w:space="0" w:color="auto"/>
        <w:bottom w:val="none" w:sz="0" w:space="0" w:color="auto"/>
        <w:right w:val="none" w:sz="0" w:space="0" w:color="auto"/>
      </w:divBdr>
    </w:div>
    <w:div w:id="1707632872">
      <w:bodyDiv w:val="1"/>
      <w:marLeft w:val="0"/>
      <w:marRight w:val="0"/>
      <w:marTop w:val="0"/>
      <w:marBottom w:val="0"/>
      <w:divBdr>
        <w:top w:val="none" w:sz="0" w:space="0" w:color="auto"/>
        <w:left w:val="none" w:sz="0" w:space="0" w:color="auto"/>
        <w:bottom w:val="none" w:sz="0" w:space="0" w:color="auto"/>
        <w:right w:val="none" w:sz="0" w:space="0" w:color="auto"/>
      </w:divBdr>
    </w:div>
    <w:div w:id="1790977836">
      <w:bodyDiv w:val="1"/>
      <w:marLeft w:val="0"/>
      <w:marRight w:val="0"/>
      <w:marTop w:val="0"/>
      <w:marBottom w:val="0"/>
      <w:divBdr>
        <w:top w:val="none" w:sz="0" w:space="0" w:color="auto"/>
        <w:left w:val="none" w:sz="0" w:space="0" w:color="auto"/>
        <w:bottom w:val="none" w:sz="0" w:space="0" w:color="auto"/>
        <w:right w:val="none" w:sz="0" w:space="0" w:color="auto"/>
      </w:divBdr>
    </w:div>
    <w:div w:id="1927641942">
      <w:bodyDiv w:val="1"/>
      <w:marLeft w:val="0"/>
      <w:marRight w:val="0"/>
      <w:marTop w:val="0"/>
      <w:marBottom w:val="0"/>
      <w:divBdr>
        <w:top w:val="none" w:sz="0" w:space="0" w:color="auto"/>
        <w:left w:val="none" w:sz="0" w:space="0" w:color="auto"/>
        <w:bottom w:val="none" w:sz="0" w:space="0" w:color="auto"/>
        <w:right w:val="none" w:sz="0" w:space="0" w:color="auto"/>
      </w:divBdr>
    </w:div>
    <w:div w:id="2009743540">
      <w:bodyDiv w:val="1"/>
      <w:marLeft w:val="0"/>
      <w:marRight w:val="0"/>
      <w:marTop w:val="0"/>
      <w:marBottom w:val="0"/>
      <w:divBdr>
        <w:top w:val="none" w:sz="0" w:space="0" w:color="auto"/>
        <w:left w:val="none" w:sz="0" w:space="0" w:color="auto"/>
        <w:bottom w:val="none" w:sz="0" w:space="0" w:color="auto"/>
        <w:right w:val="none" w:sz="0" w:space="0" w:color="auto"/>
      </w:divBdr>
    </w:div>
    <w:div w:id="2043433850">
      <w:bodyDiv w:val="1"/>
      <w:marLeft w:val="0"/>
      <w:marRight w:val="0"/>
      <w:marTop w:val="0"/>
      <w:marBottom w:val="0"/>
      <w:divBdr>
        <w:top w:val="none" w:sz="0" w:space="0" w:color="auto"/>
        <w:left w:val="none" w:sz="0" w:space="0" w:color="auto"/>
        <w:bottom w:val="none" w:sz="0" w:space="0" w:color="auto"/>
        <w:right w:val="none" w:sz="0" w:space="0" w:color="auto"/>
      </w:divBdr>
      <w:divsChild>
        <w:div w:id="1502888618">
          <w:marLeft w:val="1267"/>
          <w:marRight w:val="0"/>
          <w:marTop w:val="0"/>
          <w:marBottom w:val="0"/>
          <w:divBdr>
            <w:top w:val="none" w:sz="0" w:space="0" w:color="auto"/>
            <w:left w:val="none" w:sz="0" w:space="0" w:color="auto"/>
            <w:bottom w:val="none" w:sz="0" w:space="0" w:color="auto"/>
            <w:right w:val="none" w:sz="0" w:space="0" w:color="auto"/>
          </w:divBdr>
        </w:div>
        <w:div w:id="1656227737">
          <w:marLeft w:val="1267"/>
          <w:marRight w:val="0"/>
          <w:marTop w:val="0"/>
          <w:marBottom w:val="0"/>
          <w:divBdr>
            <w:top w:val="none" w:sz="0" w:space="0" w:color="auto"/>
            <w:left w:val="none" w:sz="0" w:space="0" w:color="auto"/>
            <w:bottom w:val="none" w:sz="0" w:space="0" w:color="auto"/>
            <w:right w:val="none" w:sz="0" w:space="0" w:color="auto"/>
          </w:divBdr>
        </w:div>
        <w:div w:id="133181248">
          <w:marLeft w:val="1267"/>
          <w:marRight w:val="0"/>
          <w:marTop w:val="0"/>
          <w:marBottom w:val="0"/>
          <w:divBdr>
            <w:top w:val="none" w:sz="0" w:space="0" w:color="auto"/>
            <w:left w:val="none" w:sz="0" w:space="0" w:color="auto"/>
            <w:bottom w:val="none" w:sz="0" w:space="0" w:color="auto"/>
            <w:right w:val="none" w:sz="0" w:space="0" w:color="auto"/>
          </w:divBdr>
        </w:div>
        <w:div w:id="1166244549">
          <w:marLeft w:val="1267"/>
          <w:marRight w:val="0"/>
          <w:marTop w:val="0"/>
          <w:marBottom w:val="0"/>
          <w:divBdr>
            <w:top w:val="none" w:sz="0" w:space="0" w:color="auto"/>
            <w:left w:val="none" w:sz="0" w:space="0" w:color="auto"/>
            <w:bottom w:val="none" w:sz="0" w:space="0" w:color="auto"/>
            <w:right w:val="none" w:sz="0" w:space="0" w:color="auto"/>
          </w:divBdr>
        </w:div>
      </w:divsChild>
    </w:div>
    <w:div w:id="2124425026">
      <w:bodyDiv w:val="1"/>
      <w:marLeft w:val="0"/>
      <w:marRight w:val="0"/>
      <w:marTop w:val="0"/>
      <w:marBottom w:val="0"/>
      <w:divBdr>
        <w:top w:val="none" w:sz="0" w:space="0" w:color="auto"/>
        <w:left w:val="none" w:sz="0" w:space="0" w:color="auto"/>
        <w:bottom w:val="none" w:sz="0" w:space="0" w:color="auto"/>
        <w:right w:val="none" w:sz="0" w:space="0" w:color="auto"/>
      </w:divBdr>
    </w:div>
    <w:div w:id="213701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3B264-1D66-4CD4-9A52-2BAB3E55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7587</Words>
  <Characters>43246</Characters>
  <Application>Microsoft Office Word</Application>
  <DocSecurity>4</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Rogas, Keith</dc:creator>
  <cp:lastModifiedBy>Rogas, Keith</cp:lastModifiedBy>
  <cp:revision>2</cp:revision>
  <cp:lastPrinted>2018-08-14T13:43:00Z</cp:lastPrinted>
  <dcterms:created xsi:type="dcterms:W3CDTF">2018-11-30T22:14:00Z</dcterms:created>
  <dcterms:modified xsi:type="dcterms:W3CDTF">2018-11-30T22:14:00Z</dcterms:modified>
</cp:coreProperties>
</file>